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1366" w14:textId="616F0EBD" w:rsidR="00B608F7" w:rsidRDefault="27A6B3C1" w:rsidP="00B608F7">
      <w:pPr>
        <w:pStyle w:val="Title"/>
      </w:pPr>
      <w:r>
        <w:t>Understanding Differences Between the Cohort Definition and the Cohort View in Guided Pathways (GP) and Student Success Metrics (SSM) Dashboards</w:t>
      </w:r>
    </w:p>
    <w:p w14:paraId="788CFF20" w14:textId="6A119D91" w:rsidR="00733CCD" w:rsidRPr="00733CCD" w:rsidRDefault="00AA6120" w:rsidP="00733CCD">
      <w:pPr>
        <w:rPr>
          <w:color w:val="4472C4" w:themeColor="accent1"/>
        </w:rPr>
      </w:pPr>
      <w:r>
        <w:rPr>
          <w:color w:val="4472C4" w:themeColor="accent1"/>
        </w:rPr>
        <w:t>November</w:t>
      </w:r>
      <w:r w:rsidR="00733CCD" w:rsidRPr="00733CCD">
        <w:rPr>
          <w:color w:val="4472C4" w:themeColor="accent1"/>
        </w:rPr>
        <w:t xml:space="preserve"> 2021</w:t>
      </w:r>
    </w:p>
    <w:sdt>
      <w:sdtPr>
        <w:rPr>
          <w:rFonts w:asciiTheme="minorHAnsi" w:eastAsiaTheme="minorHAnsi" w:hAnsiTheme="minorHAnsi" w:cstheme="minorBidi"/>
          <w:b w:val="0"/>
          <w:color w:val="auto"/>
          <w:sz w:val="22"/>
          <w:szCs w:val="22"/>
        </w:rPr>
        <w:id w:val="-1088996261"/>
        <w:docPartObj>
          <w:docPartGallery w:val="Table of Contents"/>
          <w:docPartUnique/>
        </w:docPartObj>
      </w:sdtPr>
      <w:sdtEndPr>
        <w:rPr>
          <w:bCs/>
          <w:noProof/>
        </w:rPr>
      </w:sdtEndPr>
      <w:sdtContent>
        <w:p w14:paraId="6EAED6AD" w14:textId="6C18DDC7" w:rsidR="00413C60" w:rsidRDefault="1D107AD1">
          <w:pPr>
            <w:pStyle w:val="TOCHeading"/>
          </w:pPr>
          <w:r>
            <w:t>Contents</w:t>
          </w:r>
        </w:p>
        <w:p w14:paraId="6174DF37" w14:textId="6C5AB726" w:rsidR="006C4687" w:rsidRDefault="00413C60">
          <w:pPr>
            <w:pStyle w:val="TOC2"/>
            <w:rPr>
              <w:rFonts w:eastAsiaTheme="minorEastAsia"/>
              <w:noProof/>
            </w:rPr>
          </w:pPr>
          <w:r w:rsidRPr="1D107AD1">
            <w:fldChar w:fldCharType="begin"/>
          </w:r>
          <w:r>
            <w:instrText xml:space="preserve"> TOC \o "1-3" \h \z \u </w:instrText>
          </w:r>
          <w:r w:rsidRPr="1D107AD1">
            <w:fldChar w:fldCharType="separate"/>
          </w:r>
          <w:hyperlink w:anchor="_Toc87888230" w:history="1">
            <w:r w:rsidR="006C4687" w:rsidRPr="007C3D12">
              <w:rPr>
                <w:rStyle w:val="Hyperlink"/>
                <w:noProof/>
              </w:rPr>
              <w:t>Overview of First-Time Cohorts in Guided Pathways and Student Success Metrics Dashboards</w:t>
            </w:r>
            <w:r w:rsidR="006C4687">
              <w:rPr>
                <w:noProof/>
                <w:webHidden/>
              </w:rPr>
              <w:tab/>
            </w:r>
            <w:r w:rsidR="006C4687">
              <w:rPr>
                <w:noProof/>
                <w:webHidden/>
              </w:rPr>
              <w:fldChar w:fldCharType="begin"/>
            </w:r>
            <w:r w:rsidR="006C4687">
              <w:rPr>
                <w:noProof/>
                <w:webHidden/>
              </w:rPr>
              <w:instrText xml:space="preserve"> PAGEREF _Toc87888230 \h </w:instrText>
            </w:r>
            <w:r w:rsidR="006C4687">
              <w:rPr>
                <w:noProof/>
                <w:webHidden/>
              </w:rPr>
            </w:r>
            <w:r w:rsidR="006C4687">
              <w:rPr>
                <w:noProof/>
                <w:webHidden/>
              </w:rPr>
              <w:fldChar w:fldCharType="separate"/>
            </w:r>
            <w:r w:rsidR="006C4687">
              <w:rPr>
                <w:noProof/>
                <w:webHidden/>
              </w:rPr>
              <w:t>1</w:t>
            </w:r>
            <w:r w:rsidR="006C4687">
              <w:rPr>
                <w:noProof/>
                <w:webHidden/>
              </w:rPr>
              <w:fldChar w:fldCharType="end"/>
            </w:r>
          </w:hyperlink>
        </w:p>
        <w:p w14:paraId="5BA43485" w14:textId="6812F5A7" w:rsidR="006C4687" w:rsidRDefault="006C4687">
          <w:pPr>
            <w:pStyle w:val="TOC2"/>
            <w:rPr>
              <w:rFonts w:eastAsiaTheme="minorEastAsia"/>
              <w:noProof/>
            </w:rPr>
          </w:pPr>
          <w:hyperlink w:anchor="_Toc87888231" w:history="1">
            <w:r w:rsidRPr="007C3D12">
              <w:rPr>
                <w:rStyle w:val="Hyperlink"/>
                <w:noProof/>
              </w:rPr>
              <w:t>Guided Pathways Cohort Definition for 2020-21</w:t>
            </w:r>
            <w:r>
              <w:rPr>
                <w:noProof/>
                <w:webHidden/>
              </w:rPr>
              <w:tab/>
            </w:r>
            <w:r>
              <w:rPr>
                <w:noProof/>
                <w:webHidden/>
              </w:rPr>
              <w:fldChar w:fldCharType="begin"/>
            </w:r>
            <w:r>
              <w:rPr>
                <w:noProof/>
                <w:webHidden/>
              </w:rPr>
              <w:instrText xml:space="preserve"> PAGEREF _Toc87888231 \h </w:instrText>
            </w:r>
            <w:r>
              <w:rPr>
                <w:noProof/>
                <w:webHidden/>
              </w:rPr>
            </w:r>
            <w:r>
              <w:rPr>
                <w:noProof/>
                <w:webHidden/>
              </w:rPr>
              <w:fldChar w:fldCharType="separate"/>
            </w:r>
            <w:r>
              <w:rPr>
                <w:noProof/>
                <w:webHidden/>
              </w:rPr>
              <w:t>1</w:t>
            </w:r>
            <w:r>
              <w:rPr>
                <w:noProof/>
                <w:webHidden/>
              </w:rPr>
              <w:fldChar w:fldCharType="end"/>
            </w:r>
          </w:hyperlink>
        </w:p>
        <w:p w14:paraId="457FAF9A" w14:textId="78877C8F" w:rsidR="006C4687" w:rsidRDefault="006C4687">
          <w:pPr>
            <w:pStyle w:val="TOC2"/>
            <w:rPr>
              <w:rFonts w:eastAsiaTheme="minorEastAsia"/>
              <w:noProof/>
            </w:rPr>
          </w:pPr>
          <w:hyperlink w:anchor="_Toc87888232" w:history="1">
            <w:r w:rsidRPr="007C3D12">
              <w:rPr>
                <w:rStyle w:val="Hyperlink"/>
                <w:noProof/>
              </w:rPr>
              <w:t>Differences in the Guided Pathways Cohort Definition for 2020-21 Compared to Prior Build</w:t>
            </w:r>
            <w:r>
              <w:rPr>
                <w:noProof/>
                <w:webHidden/>
              </w:rPr>
              <w:tab/>
            </w:r>
            <w:r>
              <w:rPr>
                <w:noProof/>
                <w:webHidden/>
              </w:rPr>
              <w:fldChar w:fldCharType="begin"/>
            </w:r>
            <w:r>
              <w:rPr>
                <w:noProof/>
                <w:webHidden/>
              </w:rPr>
              <w:instrText xml:space="preserve"> PAGEREF _Toc87888232 \h </w:instrText>
            </w:r>
            <w:r>
              <w:rPr>
                <w:noProof/>
                <w:webHidden/>
              </w:rPr>
            </w:r>
            <w:r>
              <w:rPr>
                <w:noProof/>
                <w:webHidden/>
              </w:rPr>
              <w:fldChar w:fldCharType="separate"/>
            </w:r>
            <w:r>
              <w:rPr>
                <w:noProof/>
                <w:webHidden/>
              </w:rPr>
              <w:t>2</w:t>
            </w:r>
            <w:r>
              <w:rPr>
                <w:noProof/>
                <w:webHidden/>
              </w:rPr>
              <w:fldChar w:fldCharType="end"/>
            </w:r>
          </w:hyperlink>
        </w:p>
        <w:p w14:paraId="4E808641" w14:textId="6EED9838" w:rsidR="006C4687" w:rsidRDefault="006C4687">
          <w:pPr>
            <w:pStyle w:val="TOC2"/>
            <w:rPr>
              <w:rFonts w:eastAsiaTheme="minorEastAsia"/>
              <w:noProof/>
            </w:rPr>
          </w:pPr>
          <w:hyperlink w:anchor="_Toc87888233" w:history="1">
            <w:r w:rsidRPr="007C3D12">
              <w:rPr>
                <w:rStyle w:val="Hyperlink"/>
                <w:noProof/>
              </w:rPr>
              <w:t>Summary Table of Differences Between GP and SSM Cohort Views</w:t>
            </w:r>
            <w:r>
              <w:rPr>
                <w:noProof/>
                <w:webHidden/>
              </w:rPr>
              <w:tab/>
            </w:r>
            <w:r>
              <w:rPr>
                <w:noProof/>
                <w:webHidden/>
              </w:rPr>
              <w:fldChar w:fldCharType="begin"/>
            </w:r>
            <w:r>
              <w:rPr>
                <w:noProof/>
                <w:webHidden/>
              </w:rPr>
              <w:instrText xml:space="preserve"> PAGEREF _Toc87888233 \h </w:instrText>
            </w:r>
            <w:r>
              <w:rPr>
                <w:noProof/>
                <w:webHidden/>
              </w:rPr>
            </w:r>
            <w:r>
              <w:rPr>
                <w:noProof/>
                <w:webHidden/>
              </w:rPr>
              <w:fldChar w:fldCharType="separate"/>
            </w:r>
            <w:r>
              <w:rPr>
                <w:noProof/>
                <w:webHidden/>
              </w:rPr>
              <w:t>3</w:t>
            </w:r>
            <w:r>
              <w:rPr>
                <w:noProof/>
                <w:webHidden/>
              </w:rPr>
              <w:fldChar w:fldCharType="end"/>
            </w:r>
          </w:hyperlink>
        </w:p>
        <w:p w14:paraId="446EAB80" w14:textId="6C18DDC7" w:rsidR="00413C60" w:rsidRDefault="00413C60">
          <w:r w:rsidRPr="1D107AD1">
            <w:rPr>
              <w:b/>
              <w:bCs/>
              <w:noProof/>
            </w:rPr>
            <w:fldChar w:fldCharType="end"/>
          </w:r>
        </w:p>
      </w:sdtContent>
    </w:sdt>
    <w:p w14:paraId="6CA5B3F3" w14:textId="6C18DDC7" w:rsidR="002A5967" w:rsidRDefault="1D107AD1" w:rsidP="00F46357">
      <w:pPr>
        <w:pStyle w:val="Heading2"/>
        <w:spacing w:line="240" w:lineRule="auto"/>
      </w:pPr>
      <w:bookmarkStart w:id="0" w:name="_Toc87888230"/>
      <w:r>
        <w:t>Overview of First-Time Cohorts in Guided Pathways and Student Success Metrics Dashboards</w:t>
      </w:r>
      <w:bookmarkEnd w:id="0"/>
    </w:p>
    <w:p w14:paraId="1DF681E2" w14:textId="515AB8D2" w:rsidR="00074CB8" w:rsidRDefault="1D107AD1" w:rsidP="00B608F7">
      <w:pPr>
        <w:spacing w:line="240" w:lineRule="auto"/>
      </w:pPr>
      <w:r>
        <w:t xml:space="preserve">As part of the 2020-21 build of the Student Success Metric (SSM) dashboard, a new cohort view has been added to the existing snapshot view of  data. The SSM cohort includes all students who enrolled for the first-time in higher education as non-special admit credit students in at least one primary term of the selected year, allowing for preceding summer enrollment, with a minimal credit enrollment at the selected college tracking students for three, four and six years from first term of enrollment. The SSM cohort view currently includes, metrics, primary disaggregations and secondary gender disaggregation of the data as outlined in the </w:t>
      </w:r>
      <w:hyperlink r:id="rId7" w:history="1">
        <w:r w:rsidRPr="1D107AD1">
          <w:rPr>
            <w:rStyle w:val="Hyperlink"/>
          </w:rPr>
          <w:t>Legislation for Student Equity and Achievement</w:t>
        </w:r>
      </w:hyperlink>
      <w:r>
        <w:t xml:space="preserve">. </w:t>
      </w:r>
    </w:p>
    <w:p w14:paraId="285F44FD" w14:textId="135AFEA2" w:rsidR="00370982" w:rsidRDefault="1D107AD1" w:rsidP="00B608F7">
      <w:pPr>
        <w:spacing w:line="240" w:lineRule="auto"/>
      </w:pPr>
      <w:r>
        <w:t>The Guided Pathways dashboard has always offered a cohort view of first-time students and is intended to provide viewers with first-year momentum points for evaluating college redesign efforts related to the Guided Pathway Initiative. As part of the 2020-21 build of the Guided Pathways dashboard , per a decision by the Chancellor’s Office, the GP cohort definition has been brought into alignment with the SSM cohort definition except</w:t>
      </w:r>
      <w:r w:rsidR="00F34C98">
        <w:t xml:space="preserve"> </w:t>
      </w:r>
      <w:r>
        <w:t xml:space="preserve">first-time students in the GP cohort must start in the fall term. </w:t>
      </w:r>
    </w:p>
    <w:p w14:paraId="34F253CE" w14:textId="77777777" w:rsidR="00605D9B" w:rsidRPr="00A90603" w:rsidRDefault="00605D9B" w:rsidP="00605D9B">
      <w:pPr>
        <w:pStyle w:val="Heading2"/>
      </w:pPr>
      <w:bookmarkStart w:id="1" w:name="_Toc87888231"/>
      <w:r>
        <w:t>Guided Pathways Cohort Definition for 2020-21</w:t>
      </w:r>
      <w:bookmarkEnd w:id="1"/>
    </w:p>
    <w:p w14:paraId="4F85E25F" w14:textId="26560D05" w:rsidR="00605D9B" w:rsidRDefault="1D107AD1" w:rsidP="00AC0920">
      <w:pPr>
        <w:spacing w:after="60"/>
      </w:pPr>
      <w:r>
        <w:t>Aligning the first-time GP cohort definition for the 2020-21 with the new cohort view in SSM,</w:t>
      </w:r>
      <w:r w:rsidR="00F34C98">
        <w:t xml:space="preserve"> </w:t>
      </w:r>
      <w:r>
        <w:t>the calculation is determined in the following manner:</w:t>
      </w:r>
    </w:p>
    <w:p w14:paraId="5E4A3CDD" w14:textId="77777777" w:rsidR="00605D9B" w:rsidRDefault="00605D9B" w:rsidP="00605D9B">
      <w:pPr>
        <w:spacing w:after="0"/>
      </w:pPr>
      <w:r>
        <w:t>Student who met all of the following criteria:</w:t>
      </w:r>
    </w:p>
    <w:p w14:paraId="610DC8C5" w14:textId="77777777" w:rsidR="00605D9B" w:rsidRDefault="00605D9B" w:rsidP="00605D9B">
      <w:pPr>
        <w:spacing w:after="0"/>
      </w:pPr>
      <w:r>
        <w:t xml:space="preserve">• </w:t>
      </w:r>
      <w:r w:rsidRPr="00C03A42">
        <w:rPr>
          <w:b/>
          <w:bCs/>
        </w:rPr>
        <w:t>Student appears as a first-time NSA credit student in the system in the selected year at the selected college requiring enrollment in the fall term if first NSA term is the preceding summer term in the selected year</w:t>
      </w:r>
    </w:p>
    <w:p w14:paraId="68DC0947" w14:textId="77777777" w:rsidR="00605D9B" w:rsidRDefault="00605D9B" w:rsidP="00605D9B">
      <w:pPr>
        <w:spacing w:after="0"/>
      </w:pPr>
      <w:r>
        <w:t>WHERE [GI03 = Min(GI03) in the system at the selected college</w:t>
      </w:r>
    </w:p>
    <w:p w14:paraId="5C5CCF38" w14:textId="77777777" w:rsidR="00605D9B" w:rsidRDefault="00605D9B" w:rsidP="00605D9B">
      <w:pPr>
        <w:spacing w:after="0"/>
      </w:pPr>
      <w:r>
        <w:t>AND IF Min(GI03) IS IN (5YY, 6YY)</w:t>
      </w:r>
    </w:p>
    <w:p w14:paraId="6F867CCB" w14:textId="77777777" w:rsidR="00605D9B" w:rsidRDefault="00605D9B" w:rsidP="00605D9B">
      <w:pPr>
        <w:spacing w:after="0"/>
      </w:pPr>
      <w:r>
        <w:t>THEN GI03 must also be IN (7YY, 8YY)</w:t>
      </w:r>
    </w:p>
    <w:p w14:paraId="156E75B4" w14:textId="77777777" w:rsidR="00605D9B" w:rsidRDefault="00605D9B" w:rsidP="00605D9B">
      <w:pPr>
        <w:spacing w:after="0"/>
      </w:pPr>
      <w:r>
        <w:t>AND SXD2 IN (T, D, S)</w:t>
      </w:r>
    </w:p>
    <w:p w14:paraId="49A63AE7" w14:textId="77777777" w:rsidR="00605D9B" w:rsidRDefault="00605D9B" w:rsidP="00605D9B">
      <w:pPr>
        <w:spacing w:after="0"/>
      </w:pPr>
      <w:r>
        <w:t>AND STD7 in (A, B, C, D, E)</w:t>
      </w:r>
    </w:p>
    <w:p w14:paraId="092E98D2" w14:textId="77777777" w:rsidR="00605D9B" w:rsidRDefault="00605D9B" w:rsidP="00605D9B">
      <w:pPr>
        <w:spacing w:after="0"/>
      </w:pPr>
      <w:r>
        <w:t>AND SB11 not equal to 10000]</w:t>
      </w:r>
    </w:p>
    <w:p w14:paraId="5BA96F27" w14:textId="77777777" w:rsidR="00605D9B" w:rsidRPr="00C03A42" w:rsidRDefault="00605D9B" w:rsidP="00605D9B">
      <w:pPr>
        <w:spacing w:after="0"/>
        <w:rPr>
          <w:b/>
          <w:bCs/>
        </w:rPr>
      </w:pPr>
      <w:r>
        <w:t xml:space="preserve">• </w:t>
      </w:r>
      <w:r w:rsidRPr="00C03A42">
        <w:rPr>
          <w:b/>
          <w:bCs/>
        </w:rPr>
        <w:t>AND has a minimal credit enrollment in the system at the selected college</w:t>
      </w:r>
    </w:p>
    <w:p w14:paraId="0E1A1439" w14:textId="77777777" w:rsidR="00605D9B" w:rsidRDefault="00605D9B" w:rsidP="00605D9B">
      <w:pPr>
        <w:spacing w:after="0"/>
      </w:pPr>
      <w:r>
        <w:lastRenderedPageBreak/>
        <w:t>AND (SXD3 &gt;=0.5 units at the selected college in the selected year)</w:t>
      </w:r>
    </w:p>
    <w:p w14:paraId="19867526" w14:textId="77777777" w:rsidR="00605D9B" w:rsidRDefault="00605D9B" w:rsidP="00605D9B">
      <w:pPr>
        <w:spacing w:after="0"/>
      </w:pPr>
      <w:r>
        <w:t xml:space="preserve">• </w:t>
      </w:r>
      <w:r w:rsidRPr="00C03A42">
        <w:rPr>
          <w:b/>
          <w:bCs/>
        </w:rPr>
        <w:t>AND where the student did not earn an Excused Withdrawal or Military Withdrawal in ALL credit courses in their first term</w:t>
      </w:r>
    </w:p>
    <w:p w14:paraId="5648ED3F" w14:textId="77777777" w:rsidR="00605D9B" w:rsidRDefault="00605D9B" w:rsidP="00605D9B">
      <w:pPr>
        <w:spacing w:after="0"/>
      </w:pPr>
      <w:r>
        <w:t>WHERE Count (SX04) IS NOT EQUAL TO count (SX04) IN (EW, MW) in their first term at the selected college</w:t>
      </w:r>
    </w:p>
    <w:p w14:paraId="46C27DCD" w14:textId="77777777" w:rsidR="00605D9B" w:rsidRPr="00C03A42" w:rsidRDefault="00605D9B" w:rsidP="00605D9B">
      <w:pPr>
        <w:spacing w:after="0"/>
        <w:rPr>
          <w:b/>
          <w:bCs/>
        </w:rPr>
      </w:pPr>
      <w:r>
        <w:t xml:space="preserve">• </w:t>
      </w:r>
      <w:r w:rsidRPr="00C03A42">
        <w:rPr>
          <w:b/>
          <w:bCs/>
        </w:rPr>
        <w:t>AND in the selected year</w:t>
      </w:r>
    </w:p>
    <w:p w14:paraId="2E60FB3D" w14:textId="77777777" w:rsidR="00605D9B" w:rsidRDefault="00605D9B" w:rsidP="00605D9B">
      <w:pPr>
        <w:spacing w:after="0"/>
      </w:pPr>
      <w:r>
        <w:t>WHERE GI03 is within the selected year</w:t>
      </w:r>
    </w:p>
    <w:p w14:paraId="59931DDD" w14:textId="77777777" w:rsidR="00605D9B" w:rsidRPr="00C03A42" w:rsidRDefault="00605D9B" w:rsidP="00605D9B">
      <w:pPr>
        <w:spacing w:after="0"/>
        <w:rPr>
          <w:b/>
          <w:bCs/>
        </w:rPr>
      </w:pPr>
      <w:r>
        <w:t xml:space="preserve">• </w:t>
      </w:r>
      <w:r w:rsidRPr="00C03A42">
        <w:rPr>
          <w:b/>
          <w:bCs/>
        </w:rPr>
        <w:t>AND never had a valid course enrollment at any postsecondary institution except CA community colleges while the student was 18 or older</w:t>
      </w:r>
    </w:p>
    <w:p w14:paraId="7BED84CB" w14:textId="77777777" w:rsidR="00605D9B" w:rsidRDefault="00605D9B" w:rsidP="00605D9B">
      <w:pPr>
        <w:spacing w:after="0"/>
      </w:pPr>
      <w:r>
        <w:t>WHERE [segment IS IN (CSU, UC, ISP, OOS)</w:t>
      </w:r>
    </w:p>
    <w:p w14:paraId="620C53F5" w14:textId="77777777" w:rsidR="00605D9B" w:rsidRDefault="00605D9B" w:rsidP="00605D9B">
      <w:pPr>
        <w:spacing w:after="0"/>
      </w:pPr>
      <w:r>
        <w:t>AND tfr_in_inst_type IS IN (2, 4)]</w:t>
      </w:r>
    </w:p>
    <w:p w14:paraId="0DFDD3B8" w14:textId="77777777" w:rsidR="00605D9B" w:rsidRDefault="00605D9B" w:rsidP="00605D9B">
      <w:pPr>
        <w:spacing w:after="0"/>
      </w:pPr>
      <w:r>
        <w:t xml:space="preserve">• </w:t>
      </w:r>
      <w:r w:rsidRPr="00C03A42">
        <w:rPr>
          <w:b/>
          <w:bCs/>
        </w:rPr>
        <w:t>AND when the student was 18 or older</w:t>
      </w:r>
    </w:p>
    <w:p w14:paraId="5DAFFB08" w14:textId="77777777" w:rsidR="00605D9B" w:rsidRDefault="00605D9B" w:rsidP="00605D9B">
      <w:pPr>
        <w:spacing w:after="0"/>
      </w:pPr>
      <w:r>
        <w:t>AND (Oct. 15th in the selected year -  SB03) ≥ 18 years</w:t>
      </w:r>
    </w:p>
    <w:p w14:paraId="433E3CCB" w14:textId="77777777" w:rsidR="00605D9B" w:rsidRPr="00C03A42" w:rsidRDefault="00605D9B" w:rsidP="00605D9B">
      <w:pPr>
        <w:spacing w:after="0"/>
        <w:rPr>
          <w:b/>
          <w:bCs/>
        </w:rPr>
      </w:pPr>
      <w:r>
        <w:t xml:space="preserve">• </w:t>
      </w:r>
      <w:r w:rsidRPr="00C03A42">
        <w:rPr>
          <w:b/>
          <w:bCs/>
        </w:rPr>
        <w:t>AND at any time up to and including the selected year</w:t>
      </w:r>
    </w:p>
    <w:p w14:paraId="45AF1E3F" w14:textId="77777777" w:rsidR="00605D9B" w:rsidRDefault="00605D9B" w:rsidP="00605D9B">
      <w:pPr>
        <w:spacing w:after="0"/>
      </w:pPr>
      <w:r>
        <w:t>WHERE GI03 is any time up to and including the selected year]</w:t>
      </w:r>
    </w:p>
    <w:p w14:paraId="29C13765" w14:textId="2533ACF6" w:rsidR="00392A20" w:rsidRPr="00A90603" w:rsidRDefault="00ED5EF9" w:rsidP="00A90603">
      <w:pPr>
        <w:pStyle w:val="Heading2"/>
      </w:pPr>
      <w:bookmarkStart w:id="2" w:name="_Toc87888232"/>
      <w:r>
        <w:t>Differences in the</w:t>
      </w:r>
      <w:r w:rsidR="00DC2290">
        <w:t xml:space="preserve"> Guided Pathways Cohort</w:t>
      </w:r>
      <w:r>
        <w:t xml:space="preserve"> Definition for 2020-21 Compared to Prior</w:t>
      </w:r>
      <w:r w:rsidR="004762DD">
        <w:t xml:space="preserve"> Build</w:t>
      </w:r>
      <w:bookmarkEnd w:id="2"/>
    </w:p>
    <w:p w14:paraId="23E46764" w14:textId="4E3E51C1" w:rsidR="00A90603" w:rsidRDefault="1D107AD1" w:rsidP="00EE1E8A">
      <w:r>
        <w:t xml:space="preserve">Prior to  2020-21, the GP cohort aligned with the definition of a first-time credit students used for the calculation of the Student Centered Funding Formula (SCFF) for Completed Both Transfer Level Math and English and the Student Success Metrics snapshot view for Completed Both Transfer Level Math and English (SM 501) , Completed Transfer Level Math (SM 502), and Completed Transfer Level English (SM 503). </w:t>
      </w:r>
    </w:p>
    <w:p w14:paraId="578764E8" w14:textId="72B3844B" w:rsidR="007365BD" w:rsidRDefault="1D107AD1" w:rsidP="007365BD">
      <w:pPr>
        <w:spacing w:after="0"/>
      </w:pPr>
      <w:r>
        <w:t>To align with the 2020-21 SSM first-time credit student cohort, the following updates have been made to the GP cohort definition for the 2020-21 build. For students to be included in the first-time cohort:</w:t>
      </w:r>
    </w:p>
    <w:p w14:paraId="47A124AE" w14:textId="778BE5A6" w:rsidR="007365BD" w:rsidRDefault="1D107AD1" w:rsidP="007365BD">
      <w:pPr>
        <w:pStyle w:val="ListParagraph"/>
        <w:numPr>
          <w:ilvl w:val="0"/>
          <w:numId w:val="23"/>
        </w:numPr>
      </w:pPr>
      <w:r>
        <w:t xml:space="preserve">Students must have a minimal enrollment by attempting at least 0.5 credit units as measured by </w:t>
      </w:r>
      <w:hyperlink r:id="rId8">
        <w:r w:rsidRPr="1D107AD1">
          <w:rPr>
            <w:rStyle w:val="Hyperlink"/>
          </w:rPr>
          <w:t>SXD3 Enrollment-Units-Attempted</w:t>
        </w:r>
      </w:hyperlink>
      <w:r>
        <w:t xml:space="preserve"> at the selected college</w:t>
      </w:r>
    </w:p>
    <w:p w14:paraId="1FEA8614" w14:textId="7DC828E2" w:rsidR="007365BD" w:rsidRDefault="1D107AD1" w:rsidP="007365BD">
      <w:pPr>
        <w:pStyle w:val="ListParagraph"/>
        <w:numPr>
          <w:ilvl w:val="0"/>
          <w:numId w:val="23"/>
        </w:numPr>
        <w:rPr>
          <w:rStyle w:val="Hyperlink"/>
          <w:color w:val="auto"/>
          <w:u w:val="none"/>
        </w:rPr>
      </w:pPr>
      <w:r>
        <w:t xml:space="preserve">Students did not earn an Excused or Military Withdrawal in all credit courses in their first term as measured by </w:t>
      </w:r>
      <w:hyperlink r:id="rId9">
        <w:r w:rsidRPr="1D107AD1">
          <w:rPr>
            <w:rStyle w:val="Hyperlink"/>
          </w:rPr>
          <w:t>SX04 Enrollment-Grade</w:t>
        </w:r>
      </w:hyperlink>
      <w:r w:rsidRPr="1D107AD1">
        <w:rPr>
          <w:rStyle w:val="Hyperlink"/>
        </w:rPr>
        <w:t xml:space="preserve"> </w:t>
      </w:r>
      <w:r w:rsidRPr="1D107AD1">
        <w:rPr>
          <w:rStyle w:val="Hyperlink"/>
          <w:color w:val="auto"/>
          <w:u w:val="none"/>
        </w:rPr>
        <w:t>at the selected college</w:t>
      </w:r>
    </w:p>
    <w:p w14:paraId="02D567CE" w14:textId="47D34A41" w:rsidR="007365BD" w:rsidRDefault="1D107AD1">
      <w:pPr>
        <w:pStyle w:val="ListParagraph"/>
        <w:numPr>
          <w:ilvl w:val="0"/>
          <w:numId w:val="23"/>
        </w:numPr>
      </w:pPr>
      <w:r>
        <w:t>Students never had an enrollment at any postsecondary institution except CA community colleges when the student was 18 or older as determined by the match with National Student Clearing House and the match with California State University /University of California.</w:t>
      </w:r>
    </w:p>
    <w:p w14:paraId="60E8FE4D" w14:textId="77777777" w:rsidR="009A6198" w:rsidRDefault="009A6198">
      <w:pPr>
        <w:rPr>
          <w:rFonts w:ascii="Calibri" w:eastAsiaTheme="majorEastAsia" w:hAnsi="Calibri" w:cstheme="majorBidi"/>
          <w:color w:val="2F5496" w:themeColor="accent1" w:themeShade="BF"/>
          <w:sz w:val="26"/>
          <w:szCs w:val="26"/>
        </w:rPr>
      </w:pPr>
      <w:r>
        <w:br w:type="page"/>
      </w:r>
    </w:p>
    <w:p w14:paraId="0A6E0DE7" w14:textId="4C97D3F5" w:rsidR="00C4421F" w:rsidRDefault="27A6B3C1" w:rsidP="009A6198">
      <w:pPr>
        <w:pStyle w:val="Heading2"/>
      </w:pPr>
      <w:bookmarkStart w:id="3" w:name="_Toc87888233"/>
      <w:r>
        <w:t>Summary Table of Differences Between GP and SSM Cohort Views</w:t>
      </w:r>
      <w:bookmarkEnd w:id="3"/>
    </w:p>
    <w:tbl>
      <w:tblPr>
        <w:tblStyle w:val="TableGrid"/>
        <w:tblW w:w="0" w:type="auto"/>
        <w:tblLook w:val="04A0" w:firstRow="1" w:lastRow="0" w:firstColumn="1" w:lastColumn="0" w:noHBand="0" w:noVBand="1"/>
      </w:tblPr>
      <w:tblGrid>
        <w:gridCol w:w="2829"/>
        <w:gridCol w:w="3252"/>
        <w:gridCol w:w="3269"/>
      </w:tblGrid>
      <w:tr w:rsidR="00C4421F" w:rsidRPr="00C4421F" w14:paraId="48324977" w14:textId="77777777" w:rsidTr="1D107AD1">
        <w:trPr>
          <w:tblHeader/>
        </w:trPr>
        <w:tc>
          <w:tcPr>
            <w:tcW w:w="2898" w:type="dxa"/>
            <w:shd w:val="clear" w:color="auto" w:fill="DEEAF6" w:themeFill="accent5" w:themeFillTint="33"/>
          </w:tcPr>
          <w:p w14:paraId="653BB383" w14:textId="78BBC578" w:rsidR="00C4421F" w:rsidRPr="00C4421F" w:rsidRDefault="009A6198" w:rsidP="00C4421F">
            <w:pPr>
              <w:jc w:val="center"/>
              <w:rPr>
                <w:b/>
                <w:bCs/>
              </w:rPr>
            </w:pPr>
            <w:r>
              <w:rPr>
                <w:b/>
                <w:bCs/>
              </w:rPr>
              <w:t>Issue</w:t>
            </w:r>
          </w:p>
        </w:tc>
        <w:tc>
          <w:tcPr>
            <w:tcW w:w="3330" w:type="dxa"/>
            <w:shd w:val="clear" w:color="auto" w:fill="DEEAF6" w:themeFill="accent5" w:themeFillTint="33"/>
          </w:tcPr>
          <w:p w14:paraId="3E628BDF" w14:textId="0AFEC0D8" w:rsidR="00C4421F" w:rsidRPr="00C4421F" w:rsidRDefault="3051C9E3" w:rsidP="00C4421F">
            <w:pPr>
              <w:jc w:val="center"/>
              <w:rPr>
                <w:b/>
                <w:bCs/>
              </w:rPr>
            </w:pPr>
            <w:r w:rsidRPr="3051C9E3">
              <w:rPr>
                <w:b/>
                <w:bCs/>
              </w:rPr>
              <w:t>Guided Pathways (GP)</w:t>
            </w:r>
          </w:p>
        </w:tc>
        <w:tc>
          <w:tcPr>
            <w:tcW w:w="3348" w:type="dxa"/>
            <w:shd w:val="clear" w:color="auto" w:fill="DEEAF6" w:themeFill="accent5" w:themeFillTint="33"/>
          </w:tcPr>
          <w:p w14:paraId="659CB756" w14:textId="0AB4A28E" w:rsidR="00C4421F" w:rsidRPr="00C4421F" w:rsidRDefault="3051C9E3" w:rsidP="00C4421F">
            <w:pPr>
              <w:jc w:val="center"/>
              <w:rPr>
                <w:b/>
                <w:bCs/>
              </w:rPr>
            </w:pPr>
            <w:r w:rsidRPr="3051C9E3">
              <w:rPr>
                <w:b/>
                <w:bCs/>
              </w:rPr>
              <w:t>Student Success Metrics (SSM)</w:t>
            </w:r>
          </w:p>
        </w:tc>
      </w:tr>
      <w:tr w:rsidR="00C4421F" w14:paraId="4CC7B873" w14:textId="77777777" w:rsidTr="1D107AD1">
        <w:tc>
          <w:tcPr>
            <w:tcW w:w="2898" w:type="dxa"/>
          </w:tcPr>
          <w:p w14:paraId="4C39314C" w14:textId="1C2A8A41" w:rsidR="00C4421F" w:rsidRDefault="003A4B17" w:rsidP="00ED5EF9">
            <w:r>
              <w:t xml:space="preserve">Purpose of the </w:t>
            </w:r>
            <w:r w:rsidR="009A6198">
              <w:t>C</w:t>
            </w:r>
            <w:r>
              <w:t xml:space="preserve">ohort </w:t>
            </w:r>
            <w:r w:rsidR="009A6198">
              <w:t>V</w:t>
            </w:r>
            <w:r>
              <w:t>iew</w:t>
            </w:r>
          </w:p>
        </w:tc>
        <w:tc>
          <w:tcPr>
            <w:tcW w:w="3330" w:type="dxa"/>
          </w:tcPr>
          <w:p w14:paraId="49250CFF" w14:textId="198C239E" w:rsidR="00C4421F" w:rsidRDefault="009E17C6" w:rsidP="00ED5EF9">
            <w:r>
              <w:t>F</w:t>
            </w:r>
            <w:r w:rsidRPr="009E17C6">
              <w:t xml:space="preserve">irst-year momentum points for evaluating college redesign efforts related to the </w:t>
            </w:r>
            <w:r>
              <w:t>GP</w:t>
            </w:r>
            <w:r w:rsidRPr="009E17C6">
              <w:t xml:space="preserve"> Initiative</w:t>
            </w:r>
          </w:p>
        </w:tc>
        <w:tc>
          <w:tcPr>
            <w:tcW w:w="3348" w:type="dxa"/>
          </w:tcPr>
          <w:p w14:paraId="2D706B0E" w14:textId="5F947D27" w:rsidR="00C4421F" w:rsidRDefault="009E17C6" w:rsidP="00ED5EF9">
            <w:r>
              <w:t xml:space="preserve">Metrics in the Legislation for Student Equity and Achievement </w:t>
            </w:r>
          </w:p>
        </w:tc>
      </w:tr>
      <w:tr w:rsidR="00C4421F" w14:paraId="536F02BA" w14:textId="77777777" w:rsidTr="1D107AD1">
        <w:tc>
          <w:tcPr>
            <w:tcW w:w="2898" w:type="dxa"/>
          </w:tcPr>
          <w:p w14:paraId="24FBEEBE" w14:textId="531EC66A" w:rsidR="00C4421F" w:rsidRDefault="003A4B17" w:rsidP="00ED5EF9">
            <w:r>
              <w:t>Definition</w:t>
            </w:r>
          </w:p>
        </w:tc>
        <w:tc>
          <w:tcPr>
            <w:tcW w:w="3330" w:type="dxa"/>
          </w:tcPr>
          <w:p w14:paraId="7002B621" w14:textId="28B0467A" w:rsidR="00C4421F" w:rsidRDefault="009E17C6" w:rsidP="00ED5EF9">
            <w:r w:rsidRPr="009E17C6">
              <w:t xml:space="preserve">All students who enrolled as first-time in higher education non-special admit credit students in </w:t>
            </w:r>
            <w:r>
              <w:t xml:space="preserve">the </w:t>
            </w:r>
            <w:r w:rsidRPr="009E17C6">
              <w:rPr>
                <w:b/>
                <w:bCs/>
              </w:rPr>
              <w:t>fall term</w:t>
            </w:r>
            <w:r>
              <w:t xml:space="preserve"> </w:t>
            </w:r>
            <w:r w:rsidRPr="009E17C6">
              <w:t>of the selected year</w:t>
            </w:r>
            <w:r>
              <w:t>, allowing for preceding summer enrollment,</w:t>
            </w:r>
            <w:r w:rsidRPr="009E17C6">
              <w:t xml:space="preserve"> with a minimal credit enrollment at the selected college</w:t>
            </w:r>
          </w:p>
        </w:tc>
        <w:tc>
          <w:tcPr>
            <w:tcW w:w="3348" w:type="dxa"/>
          </w:tcPr>
          <w:p w14:paraId="3311F84A" w14:textId="025056D2" w:rsidR="00C4421F" w:rsidRDefault="009E17C6" w:rsidP="00ED5EF9">
            <w:r w:rsidRPr="009E17C6">
              <w:t xml:space="preserve">All students who enrolled as first-time in higher education non-special admit credit students in </w:t>
            </w:r>
            <w:r w:rsidRPr="009E17C6">
              <w:rPr>
                <w:b/>
                <w:bCs/>
              </w:rPr>
              <w:t>at least one primary term</w:t>
            </w:r>
            <w:r w:rsidRPr="009E17C6">
              <w:t xml:space="preserve"> of the selected year</w:t>
            </w:r>
            <w:r>
              <w:t>, allowing for preceding summer enrollment,</w:t>
            </w:r>
            <w:r w:rsidRPr="009E17C6">
              <w:t xml:space="preserve"> with a minimal credit enrollment at the selected college</w:t>
            </w:r>
          </w:p>
        </w:tc>
      </w:tr>
      <w:tr w:rsidR="00C4421F" w14:paraId="23D98F37" w14:textId="77777777" w:rsidTr="1D107AD1">
        <w:tc>
          <w:tcPr>
            <w:tcW w:w="2898" w:type="dxa"/>
          </w:tcPr>
          <w:p w14:paraId="64C87D39" w14:textId="56486CAB" w:rsidR="00C4421F" w:rsidRDefault="003A4B17" w:rsidP="00ED5EF9">
            <w:r>
              <w:t>Timeframe</w:t>
            </w:r>
          </w:p>
        </w:tc>
        <w:tc>
          <w:tcPr>
            <w:tcW w:w="3330" w:type="dxa"/>
          </w:tcPr>
          <w:p w14:paraId="7A78E3DF" w14:textId="26C7B006" w:rsidR="00C4421F" w:rsidRDefault="009E17C6" w:rsidP="00ED5EF9">
            <w:r>
              <w:t>Tracked for the first academic year</w:t>
            </w:r>
          </w:p>
        </w:tc>
        <w:tc>
          <w:tcPr>
            <w:tcW w:w="3348" w:type="dxa"/>
          </w:tcPr>
          <w:p w14:paraId="0ACADEFF" w14:textId="10A0AB14" w:rsidR="00C4421F" w:rsidRDefault="009E17C6" w:rsidP="00ED5EF9">
            <w:r>
              <w:t>T</w:t>
            </w:r>
            <w:r w:rsidRPr="009E17C6">
              <w:t>racked for three, four and six years from first term of enrollment</w:t>
            </w:r>
          </w:p>
        </w:tc>
      </w:tr>
      <w:tr w:rsidR="00C4421F" w14:paraId="688768D0" w14:textId="77777777" w:rsidTr="1D107AD1">
        <w:tc>
          <w:tcPr>
            <w:tcW w:w="2898" w:type="dxa"/>
          </w:tcPr>
          <w:p w14:paraId="6C57FBC2" w14:textId="179E4A2F" w:rsidR="00C4421F" w:rsidRDefault="009E17C6" w:rsidP="00ED5EF9">
            <w:r>
              <w:t xml:space="preserve">Years of Data Displayed </w:t>
            </w:r>
            <w:r w:rsidR="00D462D6">
              <w:t>for Metrics</w:t>
            </w:r>
          </w:p>
        </w:tc>
        <w:tc>
          <w:tcPr>
            <w:tcW w:w="3330" w:type="dxa"/>
          </w:tcPr>
          <w:p w14:paraId="066225F6" w14:textId="0190A861" w:rsidR="00C4421F" w:rsidRDefault="00D462D6" w:rsidP="00ED5EF9">
            <w:r>
              <w:t xml:space="preserve">Data are displayed for all years through 2019-20 EXCEPT for the metrics for Completed Transfer Level Math and English Expanded View where </w:t>
            </w:r>
            <w:r w:rsidRPr="00D462D6">
              <w:t>Credit ESL students can complete within three years from their first term of enrollment. Therefore, data is only displayed when the timeframe allowed to meet the outcome of the metric is complete.</w:t>
            </w:r>
          </w:p>
        </w:tc>
        <w:tc>
          <w:tcPr>
            <w:tcW w:w="3348" w:type="dxa"/>
          </w:tcPr>
          <w:p w14:paraId="7E56F1CE" w14:textId="0FD48418" w:rsidR="00C4421F" w:rsidRDefault="1D107AD1" w:rsidP="00ED5EF9">
            <w:r>
              <w:t>Data are only displayed when the timeframe allowed to meet the outcome of the metric is complete. In order to provide students who, begin in Spring the same opportunity to complete within a given amount of time, an additional year of data is needed to complete the timeframes. As a result, depending on the metric, there are multiple years for which data is not displayed.</w:t>
            </w:r>
          </w:p>
        </w:tc>
      </w:tr>
      <w:tr w:rsidR="00C4421F" w14:paraId="4C975BFF" w14:textId="77777777" w:rsidTr="1D107AD1">
        <w:tc>
          <w:tcPr>
            <w:tcW w:w="2898" w:type="dxa"/>
          </w:tcPr>
          <w:p w14:paraId="2DCCF2DE" w14:textId="619A62C0" w:rsidR="00C4421F" w:rsidRDefault="009E17C6" w:rsidP="00ED5EF9">
            <w:r>
              <w:t>Drilldowns or Disaggregations</w:t>
            </w:r>
          </w:p>
        </w:tc>
        <w:tc>
          <w:tcPr>
            <w:tcW w:w="3330" w:type="dxa"/>
          </w:tcPr>
          <w:p w14:paraId="17574E8E" w14:textId="77777777" w:rsidR="00415B96" w:rsidRDefault="00415B96" w:rsidP="00415B96">
            <w:r>
              <w:t xml:space="preserve">Primary disaggregations including: </w:t>
            </w:r>
          </w:p>
          <w:p w14:paraId="685F60A0" w14:textId="623B4873" w:rsidR="00415B96" w:rsidRDefault="00415B96" w:rsidP="00415B96">
            <w:pPr>
              <w:pStyle w:val="ListParagraph"/>
              <w:numPr>
                <w:ilvl w:val="0"/>
                <w:numId w:val="24"/>
              </w:numPr>
              <w:ind w:left="432" w:hanging="288"/>
            </w:pPr>
            <w:r>
              <w:t>gender</w:t>
            </w:r>
          </w:p>
          <w:p w14:paraId="5EFEB454" w14:textId="77777777" w:rsidR="00415B96" w:rsidRDefault="00415B96" w:rsidP="00415B96">
            <w:pPr>
              <w:pStyle w:val="ListParagraph"/>
              <w:numPr>
                <w:ilvl w:val="0"/>
                <w:numId w:val="24"/>
              </w:numPr>
              <w:ind w:left="432" w:hanging="288"/>
            </w:pPr>
            <w:r>
              <w:t>race/ethnicity</w:t>
            </w:r>
          </w:p>
          <w:p w14:paraId="71EF15EE" w14:textId="117BE193" w:rsidR="00415B96" w:rsidRDefault="00415B96" w:rsidP="00415B96">
            <w:pPr>
              <w:pStyle w:val="ListParagraph"/>
              <w:numPr>
                <w:ilvl w:val="0"/>
                <w:numId w:val="24"/>
              </w:numPr>
              <w:ind w:left="432" w:hanging="288"/>
            </w:pPr>
            <w:r>
              <w:t>age group</w:t>
            </w:r>
          </w:p>
          <w:p w14:paraId="2A8DF96E" w14:textId="325CB5FA" w:rsidR="00C4421F" w:rsidRDefault="00415B96" w:rsidP="00415B96">
            <w:pPr>
              <w:pStyle w:val="ListParagraph"/>
              <w:numPr>
                <w:ilvl w:val="0"/>
                <w:numId w:val="24"/>
              </w:numPr>
              <w:ind w:left="432" w:hanging="288"/>
            </w:pPr>
            <w:r>
              <w:t>Perkins ECD</w:t>
            </w:r>
          </w:p>
        </w:tc>
        <w:tc>
          <w:tcPr>
            <w:tcW w:w="3348" w:type="dxa"/>
          </w:tcPr>
          <w:p w14:paraId="16BDD729" w14:textId="5631CA3E" w:rsidR="00C4421F" w:rsidRDefault="1D107AD1" w:rsidP="00ED5EF9">
            <w:r>
              <w:t>Primary disaggregations per SEA Legislation are included, as well as secondary disaggregation on gender including:</w:t>
            </w:r>
          </w:p>
          <w:p w14:paraId="6601AC06" w14:textId="77777777" w:rsidR="00415B96" w:rsidRDefault="00415B96" w:rsidP="00415B96">
            <w:pPr>
              <w:pStyle w:val="ListParagraph"/>
              <w:numPr>
                <w:ilvl w:val="0"/>
                <w:numId w:val="25"/>
              </w:numPr>
              <w:ind w:left="432" w:hanging="288"/>
            </w:pPr>
            <w:r>
              <w:t>gender</w:t>
            </w:r>
          </w:p>
          <w:p w14:paraId="69315F62" w14:textId="77777777" w:rsidR="00415B96" w:rsidRDefault="00415B96" w:rsidP="00415B96">
            <w:pPr>
              <w:pStyle w:val="ListParagraph"/>
              <w:numPr>
                <w:ilvl w:val="0"/>
                <w:numId w:val="25"/>
              </w:numPr>
              <w:ind w:left="432" w:hanging="288"/>
            </w:pPr>
            <w:r>
              <w:t>race/ethnicity</w:t>
            </w:r>
          </w:p>
          <w:p w14:paraId="25CF3EC5" w14:textId="55B46791" w:rsidR="00415B96" w:rsidRDefault="00415B96" w:rsidP="00415B96">
            <w:pPr>
              <w:pStyle w:val="ListParagraph"/>
              <w:numPr>
                <w:ilvl w:val="0"/>
                <w:numId w:val="25"/>
              </w:numPr>
              <w:ind w:left="432" w:hanging="288"/>
            </w:pPr>
            <w:r>
              <w:t>age group</w:t>
            </w:r>
          </w:p>
          <w:p w14:paraId="04F60164" w14:textId="6CA01964" w:rsidR="00415B96" w:rsidRDefault="00415B96" w:rsidP="00415B96">
            <w:pPr>
              <w:pStyle w:val="ListParagraph"/>
              <w:numPr>
                <w:ilvl w:val="0"/>
                <w:numId w:val="25"/>
              </w:numPr>
              <w:ind w:left="432" w:hanging="288"/>
            </w:pPr>
            <w:r>
              <w:t>Perkins ECD</w:t>
            </w:r>
          </w:p>
          <w:p w14:paraId="6CC5C7EA" w14:textId="77777777" w:rsidR="00415B96" w:rsidRDefault="00415B96" w:rsidP="00415B96">
            <w:pPr>
              <w:pStyle w:val="ListParagraph"/>
              <w:numPr>
                <w:ilvl w:val="0"/>
                <w:numId w:val="25"/>
              </w:numPr>
              <w:ind w:left="432" w:hanging="288"/>
            </w:pPr>
            <w:r>
              <w:t>LGBT</w:t>
            </w:r>
          </w:p>
          <w:p w14:paraId="608E357C" w14:textId="77777777" w:rsidR="00415B96" w:rsidRDefault="00415B96" w:rsidP="00415B96">
            <w:pPr>
              <w:pStyle w:val="ListParagraph"/>
              <w:numPr>
                <w:ilvl w:val="0"/>
                <w:numId w:val="25"/>
              </w:numPr>
              <w:ind w:left="432" w:hanging="288"/>
            </w:pPr>
            <w:r>
              <w:t>First-Generation</w:t>
            </w:r>
          </w:p>
          <w:p w14:paraId="3E51005D" w14:textId="77777777" w:rsidR="00415B96" w:rsidRDefault="00415B96" w:rsidP="00415B96">
            <w:pPr>
              <w:pStyle w:val="ListParagraph"/>
              <w:numPr>
                <w:ilvl w:val="0"/>
                <w:numId w:val="25"/>
              </w:numPr>
              <w:ind w:left="432" w:hanging="288"/>
            </w:pPr>
            <w:r>
              <w:t>Foster Youth</w:t>
            </w:r>
          </w:p>
          <w:p w14:paraId="581EB0A9" w14:textId="77777777" w:rsidR="00415B96" w:rsidRDefault="00415B96" w:rsidP="00415B96">
            <w:pPr>
              <w:pStyle w:val="ListParagraph"/>
              <w:numPr>
                <w:ilvl w:val="0"/>
                <w:numId w:val="25"/>
              </w:numPr>
              <w:ind w:left="432" w:hanging="288"/>
            </w:pPr>
            <w:r>
              <w:t>Students with Disabilities</w:t>
            </w:r>
          </w:p>
          <w:p w14:paraId="23A6AF14" w14:textId="168E671E" w:rsidR="00415B96" w:rsidRDefault="00415B96" w:rsidP="00415B96">
            <w:pPr>
              <w:pStyle w:val="ListParagraph"/>
              <w:numPr>
                <w:ilvl w:val="0"/>
                <w:numId w:val="25"/>
              </w:numPr>
              <w:ind w:left="432" w:hanging="288"/>
            </w:pPr>
            <w:r>
              <w:t>Veterans</w:t>
            </w:r>
          </w:p>
        </w:tc>
      </w:tr>
    </w:tbl>
    <w:p w14:paraId="1D3A5AF9" w14:textId="77777777" w:rsidR="00C4421F" w:rsidRDefault="00C4421F" w:rsidP="00ED5EF9"/>
    <w:sectPr w:rsidR="00C4421F" w:rsidSect="0043771B">
      <w:headerReference w:type="default" r:id="rId10"/>
      <w:footerReference w:type="default" r:id="rId11"/>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D75B" w14:textId="77777777" w:rsidR="00D22907" w:rsidRDefault="00D22907" w:rsidP="00CC3085">
      <w:pPr>
        <w:spacing w:after="0" w:line="240" w:lineRule="auto"/>
      </w:pPr>
      <w:r>
        <w:separator/>
      </w:r>
    </w:p>
  </w:endnote>
  <w:endnote w:type="continuationSeparator" w:id="0">
    <w:p w14:paraId="7BC59C5A" w14:textId="77777777" w:rsidR="00D22907" w:rsidRDefault="00D22907" w:rsidP="00CC3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6F81" w14:textId="5612A73B" w:rsidR="00CC3085" w:rsidRDefault="004B4F15" w:rsidP="004916BC">
    <w:pPr>
      <w:pStyle w:val="Footer"/>
      <w:jc w:val="center"/>
    </w:pPr>
    <w:r>
      <w:rPr>
        <w:noProof/>
      </w:rPr>
      <w:drawing>
        <wp:inline distT="0" distB="0" distL="0" distR="0" wp14:anchorId="3BD3099F" wp14:editId="5CA84181">
          <wp:extent cx="961390" cy="213360"/>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Ed-logo-black-outline_LOGO.png"/>
                  <pic:cNvPicPr/>
                </pic:nvPicPr>
                <pic:blipFill>
                  <a:blip r:embed="rId1">
                    <a:extLst>
                      <a:ext uri="{28A0092B-C50C-407E-A947-70E740481C1C}">
                        <a14:useLocalDpi xmlns:a14="http://schemas.microsoft.com/office/drawing/2010/main" val="0"/>
                      </a:ext>
                    </a:extLst>
                  </a:blip>
                  <a:stretch>
                    <a:fillRect/>
                  </a:stretch>
                </pic:blipFill>
                <pic:spPr>
                  <a:xfrm>
                    <a:off x="0" y="0"/>
                    <a:ext cx="961390" cy="213360"/>
                  </a:xfrm>
                  <a:prstGeom prst="rect">
                    <a:avLst/>
                  </a:prstGeom>
                </pic:spPr>
              </pic:pic>
            </a:graphicData>
          </a:graphic>
        </wp:inline>
      </w:drawing>
    </w:r>
    <w:r w:rsidR="004916BC">
      <w:t xml:space="preserve"> </w:t>
    </w:r>
    <w:r w:rsidR="004952EB">
      <w:t>November</w:t>
    </w:r>
    <w:r w:rsidR="00624F80">
      <w:t xml:space="preserve"> </w:t>
    </w:r>
    <w:r w:rsidR="004916BC">
      <w:t>202</w:t>
    </w:r>
    <w:r w:rsidR="007F2641">
      <w:t>1</w:t>
    </w:r>
    <w:r w:rsidR="00F902B8">
      <w:tab/>
    </w:r>
    <w:r w:rsidR="00F902B8">
      <w:tab/>
    </w:r>
    <w:r w:rsidR="00F902B8">
      <w:rPr>
        <w:color w:val="7F7F7F" w:themeColor="background1" w:themeShade="7F"/>
        <w:spacing w:val="60"/>
      </w:rPr>
      <w:t>Page</w:t>
    </w:r>
    <w:r w:rsidR="00F902B8">
      <w:t xml:space="preserve"> | </w:t>
    </w:r>
    <w:r w:rsidR="00F902B8">
      <w:fldChar w:fldCharType="begin"/>
    </w:r>
    <w:r w:rsidR="00F902B8">
      <w:instrText xml:space="preserve"> PAGE   \* MERGEFORMAT </w:instrText>
    </w:r>
    <w:r w:rsidR="00F902B8">
      <w:fldChar w:fldCharType="separate"/>
    </w:r>
    <w:r w:rsidR="00C702B0" w:rsidRPr="00C702B0">
      <w:rPr>
        <w:b/>
        <w:bCs/>
        <w:noProof/>
      </w:rPr>
      <w:t>2</w:t>
    </w:r>
    <w:r w:rsidR="00F902B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332C" w14:textId="77777777" w:rsidR="00D22907" w:rsidRDefault="00D22907" w:rsidP="00CC3085">
      <w:pPr>
        <w:spacing w:after="0" w:line="240" w:lineRule="auto"/>
      </w:pPr>
      <w:r>
        <w:separator/>
      </w:r>
    </w:p>
  </w:footnote>
  <w:footnote w:type="continuationSeparator" w:id="0">
    <w:p w14:paraId="0FB26C48" w14:textId="77777777" w:rsidR="00D22907" w:rsidRDefault="00D22907" w:rsidP="00CC3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B31A" w14:textId="474CCA53" w:rsidR="00600776" w:rsidRDefault="00600776">
    <w:pPr>
      <w:pStyle w:val="Header"/>
    </w:pPr>
    <w:r>
      <w:rPr>
        <w:noProof/>
      </w:rPr>
      <w:drawing>
        <wp:anchor distT="0" distB="0" distL="114300" distR="114300" simplePos="0" relativeHeight="251657216" behindDoc="0" locked="0" layoutInCell="1" allowOverlap="1" wp14:anchorId="60E78940" wp14:editId="563B1CD4">
          <wp:simplePos x="0" y="0"/>
          <wp:positionH relativeFrom="column">
            <wp:posOffset>-571500</wp:posOffset>
          </wp:positionH>
          <wp:positionV relativeFrom="paragraph">
            <wp:posOffset>-247650</wp:posOffset>
          </wp:positionV>
          <wp:extent cx="2626360" cy="342900"/>
          <wp:effectExtent l="0" t="0" r="2540" b="0"/>
          <wp:wrapSquare wrapText="bothSides"/>
          <wp:docPr id="5" name="Picture 5"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logo-hfull-1c.jpg"/>
                  <pic:cNvPicPr/>
                </pic:nvPicPr>
                <pic:blipFill>
                  <a:blip r:embed="rId1">
                    <a:extLst>
                      <a:ext uri="{28A0092B-C50C-407E-A947-70E740481C1C}">
                        <a14:useLocalDpi xmlns:a14="http://schemas.microsoft.com/office/drawing/2010/main" val="0"/>
                      </a:ext>
                    </a:extLst>
                  </a:blip>
                  <a:stretch>
                    <a:fillRect/>
                  </a:stretch>
                </pic:blipFill>
                <pic:spPr>
                  <a:xfrm>
                    <a:off x="0" y="0"/>
                    <a:ext cx="2626360" cy="342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multilevel"/>
    <w:tmpl w:val="0000002A"/>
    <w:lvl w:ilvl="0">
      <w:start w:val="1"/>
      <w:numFmt w:val="bullet"/>
      <w:lvlText w:val="●"/>
      <w:lvlJc w:val="left"/>
      <w:pPr>
        <w:tabs>
          <w:tab w:val="num" w:pos="360"/>
        </w:tabs>
        <w:ind w:left="720" w:hanging="360"/>
      </w:pPr>
      <w:rPr>
        <w:rFonts w:ascii="Noto Sans Symbols" w:eastAsia="Times New Roman" w:hAnsi="Noto Sans Symbols" w:cs="Noto Sans Symbols"/>
        <w:sz w:val="20"/>
        <w:szCs w:val="20"/>
      </w:rPr>
    </w:lvl>
    <w:lvl w:ilvl="1">
      <w:start w:val="1"/>
      <w:numFmt w:val="bullet"/>
      <w:lvlText w:val="o"/>
      <w:lvlJc w:val="left"/>
      <w:pPr>
        <w:tabs>
          <w:tab w:val="num" w:pos="1080"/>
        </w:tabs>
        <w:ind w:left="1440" w:hanging="360"/>
      </w:pPr>
      <w:rPr>
        <w:rFonts w:ascii="Courier New" w:eastAsia="Times New Roman" w:hAnsi="Courier New" w:cs="Courier New"/>
        <w:sz w:val="20"/>
        <w:szCs w:val="20"/>
      </w:rPr>
    </w:lvl>
    <w:lvl w:ilvl="2">
      <w:start w:val="1"/>
      <w:numFmt w:val="bullet"/>
      <w:lvlText w:val="▪"/>
      <w:lvlJc w:val="left"/>
      <w:pPr>
        <w:tabs>
          <w:tab w:val="num" w:pos="1800"/>
        </w:tabs>
        <w:ind w:left="2160" w:hanging="180"/>
      </w:pPr>
      <w:rPr>
        <w:rFonts w:ascii="Noto Sans Symbols" w:eastAsia="Times New Roman" w:hAnsi="Noto Sans Symbols" w:cs="Noto Sans Symbols"/>
        <w:sz w:val="20"/>
        <w:szCs w:val="20"/>
      </w:rPr>
    </w:lvl>
    <w:lvl w:ilvl="3">
      <w:start w:val="1"/>
      <w:numFmt w:val="bullet"/>
      <w:lvlText w:val="▪"/>
      <w:lvlJc w:val="left"/>
      <w:pPr>
        <w:tabs>
          <w:tab w:val="num" w:pos="2520"/>
        </w:tabs>
        <w:ind w:left="2880" w:hanging="360"/>
      </w:pPr>
      <w:rPr>
        <w:rFonts w:ascii="Noto Sans Symbols" w:eastAsia="Times New Roman" w:hAnsi="Noto Sans Symbols" w:cs="Noto Sans Symbols"/>
        <w:sz w:val="20"/>
        <w:szCs w:val="20"/>
      </w:rPr>
    </w:lvl>
    <w:lvl w:ilvl="4">
      <w:start w:val="1"/>
      <w:numFmt w:val="bullet"/>
      <w:lvlText w:val="▪"/>
      <w:lvlJc w:val="left"/>
      <w:pPr>
        <w:tabs>
          <w:tab w:val="num" w:pos="3240"/>
        </w:tabs>
        <w:ind w:left="3600" w:hanging="360"/>
      </w:pPr>
      <w:rPr>
        <w:rFonts w:ascii="Noto Sans Symbols" w:eastAsia="Times New Roman" w:hAnsi="Noto Sans Symbols" w:cs="Noto Sans Symbols"/>
        <w:sz w:val="20"/>
        <w:szCs w:val="20"/>
      </w:rPr>
    </w:lvl>
    <w:lvl w:ilvl="5">
      <w:start w:val="1"/>
      <w:numFmt w:val="bullet"/>
      <w:lvlText w:val="▪"/>
      <w:lvlJc w:val="left"/>
      <w:pPr>
        <w:tabs>
          <w:tab w:val="num" w:pos="3960"/>
        </w:tabs>
        <w:ind w:left="4320" w:hanging="180"/>
      </w:pPr>
      <w:rPr>
        <w:rFonts w:ascii="Noto Sans Symbols" w:eastAsia="Times New Roman" w:hAnsi="Noto Sans Symbols" w:cs="Noto Sans Symbols"/>
        <w:sz w:val="20"/>
        <w:szCs w:val="20"/>
      </w:rPr>
    </w:lvl>
    <w:lvl w:ilvl="6">
      <w:start w:val="1"/>
      <w:numFmt w:val="bullet"/>
      <w:lvlText w:val="▪"/>
      <w:lvlJc w:val="left"/>
      <w:pPr>
        <w:tabs>
          <w:tab w:val="num" w:pos="4680"/>
        </w:tabs>
        <w:ind w:left="5040" w:hanging="360"/>
      </w:pPr>
      <w:rPr>
        <w:rFonts w:ascii="Noto Sans Symbols" w:eastAsia="Times New Roman" w:hAnsi="Noto Sans Symbols" w:cs="Noto Sans Symbols"/>
        <w:sz w:val="20"/>
        <w:szCs w:val="20"/>
      </w:rPr>
    </w:lvl>
    <w:lvl w:ilvl="7">
      <w:start w:val="1"/>
      <w:numFmt w:val="bullet"/>
      <w:lvlText w:val="▪"/>
      <w:lvlJc w:val="left"/>
      <w:pPr>
        <w:tabs>
          <w:tab w:val="num" w:pos="5400"/>
        </w:tabs>
        <w:ind w:left="5760" w:hanging="360"/>
      </w:pPr>
      <w:rPr>
        <w:rFonts w:ascii="Noto Sans Symbols" w:eastAsia="Times New Roman" w:hAnsi="Noto Sans Symbols" w:cs="Noto Sans Symbols"/>
        <w:sz w:val="20"/>
        <w:szCs w:val="20"/>
      </w:rPr>
    </w:lvl>
    <w:lvl w:ilvl="8">
      <w:start w:val="1"/>
      <w:numFmt w:val="bullet"/>
      <w:lvlText w:val="▪"/>
      <w:lvlJc w:val="left"/>
      <w:pPr>
        <w:tabs>
          <w:tab w:val="num" w:pos="6120"/>
        </w:tabs>
        <w:ind w:left="6480" w:hanging="180"/>
      </w:pPr>
      <w:rPr>
        <w:rFonts w:ascii="Noto Sans Symbols" w:eastAsia="Times New Roman" w:hAnsi="Noto Sans Symbols" w:cs="Noto Sans Symbols"/>
        <w:sz w:val="20"/>
        <w:szCs w:val="20"/>
      </w:rPr>
    </w:lvl>
  </w:abstractNum>
  <w:abstractNum w:abstractNumId="1" w15:restartNumberingAfterBreak="0">
    <w:nsid w:val="04CB1710"/>
    <w:multiLevelType w:val="hybridMultilevel"/>
    <w:tmpl w:val="57607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55F"/>
    <w:multiLevelType w:val="hybridMultilevel"/>
    <w:tmpl w:val="7246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720F8"/>
    <w:multiLevelType w:val="hybridMultilevel"/>
    <w:tmpl w:val="ED242342"/>
    <w:lvl w:ilvl="0" w:tplc="06B463A2">
      <w:start w:val="1"/>
      <w:numFmt w:val="bullet"/>
      <w:lvlText w:val=""/>
      <w:lvlJc w:val="left"/>
      <w:pPr>
        <w:ind w:left="720" w:hanging="360"/>
      </w:pPr>
      <w:rPr>
        <w:rFonts w:ascii="Symbol" w:hAnsi="Symbol" w:hint="default"/>
      </w:rPr>
    </w:lvl>
    <w:lvl w:ilvl="1" w:tplc="D34A640E">
      <w:start w:val="1"/>
      <w:numFmt w:val="bullet"/>
      <w:lvlText w:val="o"/>
      <w:lvlJc w:val="left"/>
      <w:pPr>
        <w:ind w:left="1440" w:hanging="360"/>
      </w:pPr>
      <w:rPr>
        <w:rFonts w:ascii="Courier New" w:hAnsi="Courier New" w:hint="default"/>
      </w:rPr>
    </w:lvl>
    <w:lvl w:ilvl="2" w:tplc="CB24DB88">
      <w:start w:val="1"/>
      <w:numFmt w:val="bullet"/>
      <w:lvlText w:val=""/>
      <w:lvlJc w:val="left"/>
      <w:pPr>
        <w:ind w:left="2160" w:hanging="360"/>
      </w:pPr>
      <w:rPr>
        <w:rFonts w:ascii="Wingdings" w:hAnsi="Wingdings" w:hint="default"/>
      </w:rPr>
    </w:lvl>
    <w:lvl w:ilvl="3" w:tplc="96BC261E">
      <w:start w:val="1"/>
      <w:numFmt w:val="bullet"/>
      <w:lvlText w:val=""/>
      <w:lvlJc w:val="left"/>
      <w:pPr>
        <w:ind w:left="2880" w:hanging="360"/>
      </w:pPr>
      <w:rPr>
        <w:rFonts w:ascii="Symbol" w:hAnsi="Symbol" w:hint="default"/>
      </w:rPr>
    </w:lvl>
    <w:lvl w:ilvl="4" w:tplc="9F8AEF3C">
      <w:start w:val="1"/>
      <w:numFmt w:val="bullet"/>
      <w:lvlText w:val="o"/>
      <w:lvlJc w:val="left"/>
      <w:pPr>
        <w:ind w:left="3600" w:hanging="360"/>
      </w:pPr>
      <w:rPr>
        <w:rFonts w:ascii="Courier New" w:hAnsi="Courier New" w:hint="default"/>
      </w:rPr>
    </w:lvl>
    <w:lvl w:ilvl="5" w:tplc="6B2E4CFA">
      <w:start w:val="1"/>
      <w:numFmt w:val="bullet"/>
      <w:lvlText w:val=""/>
      <w:lvlJc w:val="left"/>
      <w:pPr>
        <w:ind w:left="4320" w:hanging="360"/>
      </w:pPr>
      <w:rPr>
        <w:rFonts w:ascii="Wingdings" w:hAnsi="Wingdings" w:hint="default"/>
      </w:rPr>
    </w:lvl>
    <w:lvl w:ilvl="6" w:tplc="95008B5C">
      <w:start w:val="1"/>
      <w:numFmt w:val="bullet"/>
      <w:lvlText w:val=""/>
      <w:lvlJc w:val="left"/>
      <w:pPr>
        <w:ind w:left="5040" w:hanging="360"/>
      </w:pPr>
      <w:rPr>
        <w:rFonts w:ascii="Symbol" w:hAnsi="Symbol" w:hint="default"/>
      </w:rPr>
    </w:lvl>
    <w:lvl w:ilvl="7" w:tplc="E3C69E42">
      <w:start w:val="1"/>
      <w:numFmt w:val="bullet"/>
      <w:lvlText w:val="o"/>
      <w:lvlJc w:val="left"/>
      <w:pPr>
        <w:ind w:left="5760" w:hanging="360"/>
      </w:pPr>
      <w:rPr>
        <w:rFonts w:ascii="Courier New" w:hAnsi="Courier New" w:hint="default"/>
      </w:rPr>
    </w:lvl>
    <w:lvl w:ilvl="8" w:tplc="F58A52A6">
      <w:start w:val="1"/>
      <w:numFmt w:val="bullet"/>
      <w:lvlText w:val=""/>
      <w:lvlJc w:val="left"/>
      <w:pPr>
        <w:ind w:left="6480" w:hanging="360"/>
      </w:pPr>
      <w:rPr>
        <w:rFonts w:ascii="Wingdings" w:hAnsi="Wingdings" w:hint="default"/>
      </w:rPr>
    </w:lvl>
  </w:abstractNum>
  <w:abstractNum w:abstractNumId="4" w15:restartNumberingAfterBreak="0">
    <w:nsid w:val="0B236DBF"/>
    <w:multiLevelType w:val="hybridMultilevel"/>
    <w:tmpl w:val="19FC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32D21"/>
    <w:multiLevelType w:val="hybridMultilevel"/>
    <w:tmpl w:val="103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C4085"/>
    <w:multiLevelType w:val="hybridMultilevel"/>
    <w:tmpl w:val="FD3E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32227"/>
    <w:multiLevelType w:val="hybridMultilevel"/>
    <w:tmpl w:val="F29A7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D7916"/>
    <w:multiLevelType w:val="hybridMultilevel"/>
    <w:tmpl w:val="39A8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1B15A6"/>
    <w:multiLevelType w:val="hybridMultilevel"/>
    <w:tmpl w:val="5398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6693E"/>
    <w:multiLevelType w:val="hybridMultilevel"/>
    <w:tmpl w:val="62EC9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8771B"/>
    <w:multiLevelType w:val="hybridMultilevel"/>
    <w:tmpl w:val="16D2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8E7218"/>
    <w:multiLevelType w:val="hybridMultilevel"/>
    <w:tmpl w:val="BFC6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1320A"/>
    <w:multiLevelType w:val="hybridMultilevel"/>
    <w:tmpl w:val="19FC1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AE31FC"/>
    <w:multiLevelType w:val="multilevel"/>
    <w:tmpl w:val="81DC7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67A00E2"/>
    <w:multiLevelType w:val="hybridMultilevel"/>
    <w:tmpl w:val="0836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C30FB"/>
    <w:multiLevelType w:val="hybridMultilevel"/>
    <w:tmpl w:val="73BE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F783A"/>
    <w:multiLevelType w:val="hybridMultilevel"/>
    <w:tmpl w:val="2DA0A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14C89"/>
    <w:multiLevelType w:val="hybridMultilevel"/>
    <w:tmpl w:val="BD726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A1EDF"/>
    <w:multiLevelType w:val="hybridMultilevel"/>
    <w:tmpl w:val="19FC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44B04"/>
    <w:multiLevelType w:val="hybridMultilevel"/>
    <w:tmpl w:val="19FC1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D10C20"/>
    <w:multiLevelType w:val="hybridMultilevel"/>
    <w:tmpl w:val="B6880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4479E"/>
    <w:multiLevelType w:val="hybridMultilevel"/>
    <w:tmpl w:val="57861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C5F19"/>
    <w:multiLevelType w:val="hybridMultilevel"/>
    <w:tmpl w:val="3092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907AF4"/>
    <w:multiLevelType w:val="hybridMultilevel"/>
    <w:tmpl w:val="19FC18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14"/>
  </w:num>
  <w:num w:numId="4">
    <w:abstractNumId w:val="1"/>
  </w:num>
  <w:num w:numId="5">
    <w:abstractNumId w:val="17"/>
  </w:num>
  <w:num w:numId="6">
    <w:abstractNumId w:val="18"/>
  </w:num>
  <w:num w:numId="7">
    <w:abstractNumId w:val="6"/>
  </w:num>
  <w:num w:numId="8">
    <w:abstractNumId w:val="12"/>
  </w:num>
  <w:num w:numId="9">
    <w:abstractNumId w:val="16"/>
  </w:num>
  <w:num w:numId="10">
    <w:abstractNumId w:val="21"/>
  </w:num>
  <w:num w:numId="11">
    <w:abstractNumId w:val="11"/>
  </w:num>
  <w:num w:numId="12">
    <w:abstractNumId w:val="23"/>
  </w:num>
  <w:num w:numId="13">
    <w:abstractNumId w:val="22"/>
  </w:num>
  <w:num w:numId="14">
    <w:abstractNumId w:val="2"/>
  </w:num>
  <w:num w:numId="15">
    <w:abstractNumId w:val="9"/>
  </w:num>
  <w:num w:numId="16">
    <w:abstractNumId w:val="7"/>
  </w:num>
  <w:num w:numId="17">
    <w:abstractNumId w:val="15"/>
  </w:num>
  <w:num w:numId="18">
    <w:abstractNumId w:val="19"/>
  </w:num>
  <w:num w:numId="19">
    <w:abstractNumId w:val="4"/>
  </w:num>
  <w:num w:numId="20">
    <w:abstractNumId w:val="24"/>
  </w:num>
  <w:num w:numId="21">
    <w:abstractNumId w:val="13"/>
  </w:num>
  <w:num w:numId="22">
    <w:abstractNumId w:val="20"/>
  </w:num>
  <w:num w:numId="23">
    <w:abstractNumId w:val="10"/>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1"/>
    <w:rsid w:val="00003818"/>
    <w:rsid w:val="00010662"/>
    <w:rsid w:val="00026175"/>
    <w:rsid w:val="00036A83"/>
    <w:rsid w:val="0005091B"/>
    <w:rsid w:val="00054E20"/>
    <w:rsid w:val="00062D2A"/>
    <w:rsid w:val="00074CB8"/>
    <w:rsid w:val="00085AD7"/>
    <w:rsid w:val="000C23F9"/>
    <w:rsid w:val="000D61CC"/>
    <w:rsid w:val="00106429"/>
    <w:rsid w:val="001345BA"/>
    <w:rsid w:val="00163D68"/>
    <w:rsid w:val="00167920"/>
    <w:rsid w:val="00195021"/>
    <w:rsid w:val="00197867"/>
    <w:rsid w:val="001A0E0C"/>
    <w:rsid w:val="001A320B"/>
    <w:rsid w:val="001A536E"/>
    <w:rsid w:val="001B0C04"/>
    <w:rsid w:val="002059A9"/>
    <w:rsid w:val="00212C0C"/>
    <w:rsid w:val="002456FE"/>
    <w:rsid w:val="0026290B"/>
    <w:rsid w:val="002A5967"/>
    <w:rsid w:val="002B181F"/>
    <w:rsid w:val="002D4FA6"/>
    <w:rsid w:val="002F0CCC"/>
    <w:rsid w:val="002F7E14"/>
    <w:rsid w:val="0031693E"/>
    <w:rsid w:val="003310B3"/>
    <w:rsid w:val="00333EAB"/>
    <w:rsid w:val="00366B2D"/>
    <w:rsid w:val="00370520"/>
    <w:rsid w:val="00370982"/>
    <w:rsid w:val="003771E1"/>
    <w:rsid w:val="00385D42"/>
    <w:rsid w:val="00392A20"/>
    <w:rsid w:val="003A4B17"/>
    <w:rsid w:val="003C136A"/>
    <w:rsid w:val="003C2A3C"/>
    <w:rsid w:val="003D2060"/>
    <w:rsid w:val="003D227A"/>
    <w:rsid w:val="003E777A"/>
    <w:rsid w:val="003F0752"/>
    <w:rsid w:val="0040618C"/>
    <w:rsid w:val="00413C60"/>
    <w:rsid w:val="00414960"/>
    <w:rsid w:val="00415B96"/>
    <w:rsid w:val="0043771B"/>
    <w:rsid w:val="00441347"/>
    <w:rsid w:val="004437C9"/>
    <w:rsid w:val="00445F04"/>
    <w:rsid w:val="0046655F"/>
    <w:rsid w:val="004762DD"/>
    <w:rsid w:val="004916BC"/>
    <w:rsid w:val="00491A8B"/>
    <w:rsid w:val="004952EB"/>
    <w:rsid w:val="004B4F15"/>
    <w:rsid w:val="004C2222"/>
    <w:rsid w:val="004C285C"/>
    <w:rsid w:val="004D0EED"/>
    <w:rsid w:val="004E3D20"/>
    <w:rsid w:val="005335FB"/>
    <w:rsid w:val="00535566"/>
    <w:rsid w:val="005B148B"/>
    <w:rsid w:val="005E778A"/>
    <w:rsid w:val="005E7CE7"/>
    <w:rsid w:val="005F3078"/>
    <w:rsid w:val="00600776"/>
    <w:rsid w:val="00605D9B"/>
    <w:rsid w:val="0061243A"/>
    <w:rsid w:val="00624F80"/>
    <w:rsid w:val="006620ED"/>
    <w:rsid w:val="00671E76"/>
    <w:rsid w:val="00685D4E"/>
    <w:rsid w:val="00696AEB"/>
    <w:rsid w:val="006A042E"/>
    <w:rsid w:val="006B6004"/>
    <w:rsid w:val="006C4687"/>
    <w:rsid w:val="006C6D33"/>
    <w:rsid w:val="006D0F46"/>
    <w:rsid w:val="006E0077"/>
    <w:rsid w:val="00701704"/>
    <w:rsid w:val="007151CB"/>
    <w:rsid w:val="00723D18"/>
    <w:rsid w:val="007252C2"/>
    <w:rsid w:val="00733CCD"/>
    <w:rsid w:val="00734122"/>
    <w:rsid w:val="007365BD"/>
    <w:rsid w:val="00775870"/>
    <w:rsid w:val="007773B9"/>
    <w:rsid w:val="00780A61"/>
    <w:rsid w:val="0079412A"/>
    <w:rsid w:val="007A644A"/>
    <w:rsid w:val="007C2A44"/>
    <w:rsid w:val="007D6F2A"/>
    <w:rsid w:val="007E1465"/>
    <w:rsid w:val="007F2641"/>
    <w:rsid w:val="00825705"/>
    <w:rsid w:val="00827239"/>
    <w:rsid w:val="0083782D"/>
    <w:rsid w:val="0085185C"/>
    <w:rsid w:val="00862085"/>
    <w:rsid w:val="008626BD"/>
    <w:rsid w:val="00893B6C"/>
    <w:rsid w:val="0089680D"/>
    <w:rsid w:val="008A6A27"/>
    <w:rsid w:val="008C21CB"/>
    <w:rsid w:val="008C2793"/>
    <w:rsid w:val="008C6759"/>
    <w:rsid w:val="008E3410"/>
    <w:rsid w:val="008E71BE"/>
    <w:rsid w:val="00905453"/>
    <w:rsid w:val="00907569"/>
    <w:rsid w:val="00912ABA"/>
    <w:rsid w:val="00913D72"/>
    <w:rsid w:val="00941D2C"/>
    <w:rsid w:val="00961481"/>
    <w:rsid w:val="00981130"/>
    <w:rsid w:val="009910CF"/>
    <w:rsid w:val="009A6198"/>
    <w:rsid w:val="009A73A9"/>
    <w:rsid w:val="009B0B23"/>
    <w:rsid w:val="009B64F6"/>
    <w:rsid w:val="009E0231"/>
    <w:rsid w:val="009E17C6"/>
    <w:rsid w:val="00A515B1"/>
    <w:rsid w:val="00A90603"/>
    <w:rsid w:val="00AA23A9"/>
    <w:rsid w:val="00AA6120"/>
    <w:rsid w:val="00AC0920"/>
    <w:rsid w:val="00AC6338"/>
    <w:rsid w:val="00AF71C1"/>
    <w:rsid w:val="00B00D06"/>
    <w:rsid w:val="00B14138"/>
    <w:rsid w:val="00B173E1"/>
    <w:rsid w:val="00B2131D"/>
    <w:rsid w:val="00B2222C"/>
    <w:rsid w:val="00B41C55"/>
    <w:rsid w:val="00B41C9D"/>
    <w:rsid w:val="00B479CA"/>
    <w:rsid w:val="00B608F7"/>
    <w:rsid w:val="00B612B8"/>
    <w:rsid w:val="00B94B0A"/>
    <w:rsid w:val="00BD317B"/>
    <w:rsid w:val="00BF3EB1"/>
    <w:rsid w:val="00C03A42"/>
    <w:rsid w:val="00C409A7"/>
    <w:rsid w:val="00C4421F"/>
    <w:rsid w:val="00C4423B"/>
    <w:rsid w:val="00C702B0"/>
    <w:rsid w:val="00C9188C"/>
    <w:rsid w:val="00C93C12"/>
    <w:rsid w:val="00C9677D"/>
    <w:rsid w:val="00CA56E0"/>
    <w:rsid w:val="00CC3085"/>
    <w:rsid w:val="00CD5FDA"/>
    <w:rsid w:val="00D22907"/>
    <w:rsid w:val="00D277BB"/>
    <w:rsid w:val="00D31ED3"/>
    <w:rsid w:val="00D43EF3"/>
    <w:rsid w:val="00D462D6"/>
    <w:rsid w:val="00D46498"/>
    <w:rsid w:val="00D54B87"/>
    <w:rsid w:val="00D5627A"/>
    <w:rsid w:val="00D94725"/>
    <w:rsid w:val="00DC2290"/>
    <w:rsid w:val="00DC5C8D"/>
    <w:rsid w:val="00DD5FDF"/>
    <w:rsid w:val="00DE12BA"/>
    <w:rsid w:val="00DE4513"/>
    <w:rsid w:val="00DE54D4"/>
    <w:rsid w:val="00DE5ECA"/>
    <w:rsid w:val="00DE6BA0"/>
    <w:rsid w:val="00DF3640"/>
    <w:rsid w:val="00DF79A6"/>
    <w:rsid w:val="00E1316D"/>
    <w:rsid w:val="00E320F0"/>
    <w:rsid w:val="00E349F8"/>
    <w:rsid w:val="00E40E96"/>
    <w:rsid w:val="00E465A3"/>
    <w:rsid w:val="00E63B67"/>
    <w:rsid w:val="00E823E8"/>
    <w:rsid w:val="00E9545C"/>
    <w:rsid w:val="00E977C9"/>
    <w:rsid w:val="00EA26C0"/>
    <w:rsid w:val="00EA7F3F"/>
    <w:rsid w:val="00EB4A7C"/>
    <w:rsid w:val="00EC2C12"/>
    <w:rsid w:val="00ED5EF9"/>
    <w:rsid w:val="00EE1E8A"/>
    <w:rsid w:val="00EE65B2"/>
    <w:rsid w:val="00EF03CE"/>
    <w:rsid w:val="00F03264"/>
    <w:rsid w:val="00F07C9A"/>
    <w:rsid w:val="00F34C98"/>
    <w:rsid w:val="00F34F79"/>
    <w:rsid w:val="00F43110"/>
    <w:rsid w:val="00F46357"/>
    <w:rsid w:val="00F902B8"/>
    <w:rsid w:val="00FC25CE"/>
    <w:rsid w:val="00FE77CE"/>
    <w:rsid w:val="00FF1143"/>
    <w:rsid w:val="1D107AD1"/>
    <w:rsid w:val="27A6B3C1"/>
    <w:rsid w:val="2905E5F4"/>
    <w:rsid w:val="3051C9E3"/>
    <w:rsid w:val="6525B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83091"/>
  <w15:docId w15:val="{58462628-16F1-4121-ACA1-50CD61BD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A3C"/>
    <w:pPr>
      <w:keepNext/>
      <w:keepLines/>
      <w:spacing w:before="240" w:after="0"/>
      <w:outlineLvl w:val="0"/>
    </w:pPr>
    <w:rPr>
      <w:rFonts w:ascii="Calibri" w:eastAsiaTheme="majorEastAsia" w:hAnsi="Calibri"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F46357"/>
    <w:pPr>
      <w:keepNext/>
      <w:keepLines/>
      <w:spacing w:before="360" w:after="40"/>
      <w:outlineLvl w:val="1"/>
    </w:pPr>
    <w:rPr>
      <w:rFonts w:ascii="Calibri" w:eastAsiaTheme="majorEastAsia" w:hAnsi="Calibr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5FDF"/>
    <w:pPr>
      <w:keepNext/>
      <w:keepLines/>
      <w:spacing w:before="200" w:after="6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A3C"/>
    <w:rPr>
      <w:rFonts w:ascii="Calibri" w:eastAsiaTheme="majorEastAsia" w:hAnsi="Calibri" w:cstheme="majorBidi"/>
      <w:color w:val="2F5496" w:themeColor="accent1" w:themeShade="BF"/>
      <w:sz w:val="28"/>
      <w:szCs w:val="32"/>
    </w:rPr>
  </w:style>
  <w:style w:type="character" w:customStyle="1" w:styleId="Heading2Char">
    <w:name w:val="Heading 2 Char"/>
    <w:basedOn w:val="DefaultParagraphFont"/>
    <w:link w:val="Heading2"/>
    <w:uiPriority w:val="9"/>
    <w:rsid w:val="00F46357"/>
    <w:rPr>
      <w:rFonts w:ascii="Calibri" w:eastAsiaTheme="majorEastAsia" w:hAnsi="Calibri" w:cstheme="majorBidi"/>
      <w:color w:val="2F5496" w:themeColor="accent1" w:themeShade="BF"/>
      <w:sz w:val="26"/>
      <w:szCs w:val="26"/>
    </w:rPr>
  </w:style>
  <w:style w:type="character" w:customStyle="1" w:styleId="Heading3Char">
    <w:name w:val="Heading 3 Char"/>
    <w:basedOn w:val="DefaultParagraphFont"/>
    <w:link w:val="Heading3"/>
    <w:uiPriority w:val="9"/>
    <w:rsid w:val="00DD5FDF"/>
    <w:rPr>
      <w:rFonts w:eastAsiaTheme="majorEastAsia" w:cstheme="majorBidi"/>
      <w:b/>
      <w:color w:val="1F3763" w:themeColor="accent1" w:themeShade="7F"/>
      <w:sz w:val="24"/>
      <w:szCs w:val="24"/>
    </w:rPr>
  </w:style>
  <w:style w:type="paragraph" w:styleId="BalloonText">
    <w:name w:val="Balloon Text"/>
    <w:basedOn w:val="Normal"/>
    <w:link w:val="BalloonTextChar"/>
    <w:uiPriority w:val="99"/>
    <w:semiHidden/>
    <w:unhideWhenUsed/>
    <w:rsid w:val="00A51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5B1"/>
    <w:rPr>
      <w:rFonts w:ascii="Segoe UI" w:hAnsi="Segoe UI" w:cs="Segoe UI"/>
      <w:sz w:val="18"/>
      <w:szCs w:val="18"/>
    </w:rPr>
  </w:style>
  <w:style w:type="character" w:styleId="Hyperlink">
    <w:name w:val="Hyperlink"/>
    <w:basedOn w:val="DefaultParagraphFont"/>
    <w:uiPriority w:val="99"/>
    <w:unhideWhenUsed/>
    <w:rsid w:val="00A515B1"/>
    <w:rPr>
      <w:color w:val="0000FF"/>
      <w:u w:val="single"/>
    </w:rPr>
  </w:style>
  <w:style w:type="character" w:styleId="FollowedHyperlink">
    <w:name w:val="FollowedHyperlink"/>
    <w:basedOn w:val="DefaultParagraphFont"/>
    <w:uiPriority w:val="99"/>
    <w:semiHidden/>
    <w:unhideWhenUsed/>
    <w:rsid w:val="00A515B1"/>
    <w:rPr>
      <w:color w:val="954F72" w:themeColor="followedHyperlink"/>
      <w:u w:val="single"/>
    </w:rPr>
  </w:style>
  <w:style w:type="paragraph" w:styleId="ListParagraph">
    <w:name w:val="List Paragraph"/>
    <w:basedOn w:val="Normal"/>
    <w:uiPriority w:val="34"/>
    <w:qFormat/>
    <w:rsid w:val="00CC3085"/>
    <w:pPr>
      <w:ind w:left="720"/>
      <w:contextualSpacing/>
    </w:pPr>
  </w:style>
  <w:style w:type="paragraph" w:styleId="Header">
    <w:name w:val="header"/>
    <w:basedOn w:val="Normal"/>
    <w:link w:val="HeaderChar"/>
    <w:uiPriority w:val="99"/>
    <w:unhideWhenUsed/>
    <w:rsid w:val="00CC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085"/>
  </w:style>
  <w:style w:type="paragraph" w:styleId="Footer">
    <w:name w:val="footer"/>
    <w:basedOn w:val="Normal"/>
    <w:link w:val="FooterChar"/>
    <w:uiPriority w:val="99"/>
    <w:unhideWhenUsed/>
    <w:rsid w:val="00CC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085"/>
  </w:style>
  <w:style w:type="character" w:customStyle="1" w:styleId="UnresolvedMention1">
    <w:name w:val="Unresolved Mention1"/>
    <w:basedOn w:val="DefaultParagraphFont"/>
    <w:uiPriority w:val="99"/>
    <w:semiHidden/>
    <w:unhideWhenUsed/>
    <w:rsid w:val="004916BC"/>
    <w:rPr>
      <w:color w:val="605E5C"/>
      <w:shd w:val="clear" w:color="auto" w:fill="E1DFDD"/>
    </w:rPr>
  </w:style>
  <w:style w:type="paragraph" w:styleId="TOCHeading">
    <w:name w:val="TOC Heading"/>
    <w:basedOn w:val="Heading1"/>
    <w:next w:val="Normal"/>
    <w:uiPriority w:val="39"/>
    <w:unhideWhenUsed/>
    <w:qFormat/>
    <w:rsid w:val="00EA7F3F"/>
    <w:pPr>
      <w:outlineLvl w:val="9"/>
    </w:pPr>
    <w:rPr>
      <w:b/>
    </w:rPr>
  </w:style>
  <w:style w:type="paragraph" w:styleId="TOC1">
    <w:name w:val="toc 1"/>
    <w:basedOn w:val="Normal"/>
    <w:next w:val="Normal"/>
    <w:autoRedefine/>
    <w:uiPriority w:val="39"/>
    <w:unhideWhenUsed/>
    <w:rsid w:val="00EA7F3F"/>
    <w:pPr>
      <w:spacing w:after="100"/>
    </w:pPr>
  </w:style>
  <w:style w:type="paragraph" w:styleId="TOC3">
    <w:name w:val="toc 3"/>
    <w:basedOn w:val="Normal"/>
    <w:next w:val="Normal"/>
    <w:autoRedefine/>
    <w:uiPriority w:val="39"/>
    <w:unhideWhenUsed/>
    <w:rsid w:val="00EA7F3F"/>
    <w:pPr>
      <w:spacing w:after="100"/>
      <w:ind w:left="440"/>
    </w:pPr>
  </w:style>
  <w:style w:type="paragraph" w:styleId="NoSpacing">
    <w:name w:val="No Spacing"/>
    <w:uiPriority w:val="1"/>
    <w:qFormat/>
    <w:rsid w:val="00EA7F3F"/>
    <w:pPr>
      <w:spacing w:after="0" w:line="240" w:lineRule="auto"/>
    </w:pPr>
  </w:style>
  <w:style w:type="character" w:styleId="CommentReference">
    <w:name w:val="annotation reference"/>
    <w:basedOn w:val="DefaultParagraphFont"/>
    <w:uiPriority w:val="99"/>
    <w:semiHidden/>
    <w:unhideWhenUsed/>
    <w:rsid w:val="00B41C55"/>
    <w:rPr>
      <w:sz w:val="16"/>
      <w:szCs w:val="16"/>
    </w:rPr>
  </w:style>
  <w:style w:type="paragraph" w:styleId="CommentText">
    <w:name w:val="annotation text"/>
    <w:basedOn w:val="Normal"/>
    <w:link w:val="CommentTextChar"/>
    <w:uiPriority w:val="99"/>
    <w:semiHidden/>
    <w:unhideWhenUsed/>
    <w:rsid w:val="00B41C55"/>
    <w:pPr>
      <w:spacing w:line="240" w:lineRule="auto"/>
    </w:pPr>
    <w:rPr>
      <w:sz w:val="20"/>
      <w:szCs w:val="20"/>
    </w:rPr>
  </w:style>
  <w:style w:type="character" w:customStyle="1" w:styleId="CommentTextChar">
    <w:name w:val="Comment Text Char"/>
    <w:basedOn w:val="DefaultParagraphFont"/>
    <w:link w:val="CommentText"/>
    <w:uiPriority w:val="99"/>
    <w:semiHidden/>
    <w:rsid w:val="00B41C55"/>
    <w:rPr>
      <w:sz w:val="20"/>
      <w:szCs w:val="20"/>
    </w:rPr>
  </w:style>
  <w:style w:type="paragraph" w:styleId="CommentSubject">
    <w:name w:val="annotation subject"/>
    <w:basedOn w:val="CommentText"/>
    <w:next w:val="CommentText"/>
    <w:link w:val="CommentSubjectChar"/>
    <w:uiPriority w:val="99"/>
    <w:semiHidden/>
    <w:unhideWhenUsed/>
    <w:rsid w:val="00B41C55"/>
    <w:rPr>
      <w:b/>
      <w:bCs/>
    </w:rPr>
  </w:style>
  <w:style w:type="character" w:customStyle="1" w:styleId="CommentSubjectChar">
    <w:name w:val="Comment Subject Char"/>
    <w:basedOn w:val="CommentTextChar"/>
    <w:link w:val="CommentSubject"/>
    <w:uiPriority w:val="99"/>
    <w:semiHidden/>
    <w:rsid w:val="00B41C55"/>
    <w:rPr>
      <w:b/>
      <w:bCs/>
      <w:sz w:val="20"/>
      <w:szCs w:val="20"/>
    </w:rPr>
  </w:style>
  <w:style w:type="paragraph" w:styleId="Title">
    <w:name w:val="Title"/>
    <w:basedOn w:val="Normal"/>
    <w:next w:val="Normal"/>
    <w:link w:val="TitleChar"/>
    <w:uiPriority w:val="10"/>
    <w:qFormat/>
    <w:rsid w:val="00B608F7"/>
    <w:pPr>
      <w:spacing w:before="240" w:after="0" w:line="240" w:lineRule="auto"/>
    </w:pPr>
    <w:rPr>
      <w:rFonts w:asciiTheme="majorHAnsi" w:eastAsiaTheme="majorEastAsia" w:hAnsiTheme="majorHAnsi" w:cstheme="majorBidi"/>
      <w:color w:val="2F5496" w:themeColor="accent1" w:themeShade="BF"/>
      <w:spacing w:val="-10"/>
      <w:kern w:val="28"/>
      <w:sz w:val="32"/>
      <w:szCs w:val="56"/>
    </w:rPr>
  </w:style>
  <w:style w:type="character" w:customStyle="1" w:styleId="TitleChar">
    <w:name w:val="Title Char"/>
    <w:basedOn w:val="DefaultParagraphFont"/>
    <w:link w:val="Title"/>
    <w:uiPriority w:val="10"/>
    <w:rsid w:val="00B608F7"/>
    <w:rPr>
      <w:rFonts w:asciiTheme="majorHAnsi" w:eastAsiaTheme="majorEastAsia" w:hAnsiTheme="majorHAnsi" w:cstheme="majorBidi"/>
      <w:color w:val="2F5496" w:themeColor="accent1" w:themeShade="BF"/>
      <w:spacing w:val="-10"/>
      <w:kern w:val="28"/>
      <w:sz w:val="32"/>
      <w:szCs w:val="56"/>
    </w:rPr>
  </w:style>
  <w:style w:type="table" w:styleId="TableGrid">
    <w:name w:val="Table Grid"/>
    <w:basedOn w:val="TableNormal"/>
    <w:uiPriority w:val="39"/>
    <w:rsid w:val="009E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D5FDF"/>
    <w:pPr>
      <w:tabs>
        <w:tab w:val="right" w:leader="dot" w:pos="9350"/>
      </w:tabs>
      <w:spacing w:after="100"/>
      <w:ind w:left="220"/>
    </w:pPr>
  </w:style>
  <w:style w:type="paragraph" w:styleId="FootnoteText">
    <w:name w:val="footnote text"/>
    <w:basedOn w:val="Normal"/>
    <w:link w:val="FootnoteTextChar"/>
    <w:uiPriority w:val="99"/>
    <w:semiHidden/>
    <w:unhideWhenUsed/>
    <w:rsid w:val="004E3D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D20"/>
    <w:rPr>
      <w:sz w:val="20"/>
      <w:szCs w:val="20"/>
    </w:rPr>
  </w:style>
  <w:style w:type="character" w:styleId="FootnoteReference">
    <w:name w:val="footnote reference"/>
    <w:basedOn w:val="DefaultParagraphFont"/>
    <w:uiPriority w:val="99"/>
    <w:semiHidden/>
    <w:unhideWhenUsed/>
    <w:rsid w:val="004E3D20"/>
    <w:rPr>
      <w:vertAlign w:val="superscript"/>
    </w:rPr>
  </w:style>
  <w:style w:type="character" w:styleId="UnresolvedMention">
    <w:name w:val="Unresolved Mention"/>
    <w:basedOn w:val="DefaultParagraphFont"/>
    <w:uiPriority w:val="99"/>
    <w:semiHidden/>
    <w:unhideWhenUsed/>
    <w:rsid w:val="001345BA"/>
    <w:rPr>
      <w:color w:val="605E5C"/>
      <w:shd w:val="clear" w:color="auto" w:fill="E1DFDD"/>
    </w:rPr>
  </w:style>
  <w:style w:type="paragraph" w:styleId="IntenseQuote">
    <w:name w:val="Intense Quote"/>
    <w:basedOn w:val="Normal"/>
    <w:next w:val="Normal"/>
    <w:link w:val="IntenseQuoteChar"/>
    <w:uiPriority w:val="30"/>
    <w:qFormat/>
    <w:rsid w:val="001345B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45B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841">
      <w:bodyDiv w:val="1"/>
      <w:marLeft w:val="0"/>
      <w:marRight w:val="0"/>
      <w:marTop w:val="0"/>
      <w:marBottom w:val="0"/>
      <w:divBdr>
        <w:top w:val="none" w:sz="0" w:space="0" w:color="auto"/>
        <w:left w:val="none" w:sz="0" w:space="0" w:color="auto"/>
        <w:bottom w:val="none" w:sz="0" w:space="0" w:color="auto"/>
        <w:right w:val="none" w:sz="0" w:space="0" w:color="auto"/>
      </w:divBdr>
      <w:divsChild>
        <w:div w:id="2079934940">
          <w:marLeft w:val="510"/>
          <w:marRight w:val="0"/>
          <w:marTop w:val="0"/>
          <w:marBottom w:val="0"/>
          <w:divBdr>
            <w:top w:val="none" w:sz="0" w:space="0" w:color="auto"/>
            <w:left w:val="none" w:sz="0" w:space="0" w:color="auto"/>
            <w:bottom w:val="none" w:sz="0" w:space="0" w:color="auto"/>
            <w:right w:val="none" w:sz="0" w:space="0" w:color="auto"/>
          </w:divBdr>
        </w:div>
      </w:divsChild>
    </w:div>
    <w:div w:id="2101557224">
      <w:bodyDiv w:val="1"/>
      <w:marLeft w:val="0"/>
      <w:marRight w:val="0"/>
      <w:marTop w:val="0"/>
      <w:marBottom w:val="0"/>
      <w:divBdr>
        <w:top w:val="none" w:sz="0" w:space="0" w:color="auto"/>
        <w:left w:val="none" w:sz="0" w:space="0" w:color="auto"/>
        <w:bottom w:val="none" w:sz="0" w:space="0" w:color="auto"/>
        <w:right w:val="none" w:sz="0" w:space="0" w:color="auto"/>
      </w:divBdr>
      <w:divsChild>
        <w:div w:id="1651864978">
          <w:marLeft w:val="51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data.cccco.edu/ded/sxd/sxd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nfo.legislature.ca.gov/faces/billTextClient.xhtml?bill_id=201920200AB9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bdata.cccco.edu/ded/sx/sx0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Beltramo</dc:creator>
  <cp:keywords/>
  <dc:description/>
  <cp:lastModifiedBy>Karen Beltramo</cp:lastModifiedBy>
  <cp:revision>4</cp:revision>
  <dcterms:created xsi:type="dcterms:W3CDTF">2021-11-16T01:03:00Z</dcterms:created>
  <dcterms:modified xsi:type="dcterms:W3CDTF">2021-11-17T19:16:00Z</dcterms:modified>
</cp:coreProperties>
</file>